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78C" w:rsidRDefault="009760CB">
      <w:pPr>
        <w:pStyle w:val="BodyTextFlush"/>
        <w:spacing w:before="200"/>
        <w:rPr>
          <w:sz w:val="20"/>
          <w:szCs w:val="20"/>
        </w:rPr>
      </w:pPr>
    </w:p>
    <w:p w:rsidR="00E4078C" w:rsidRDefault="009760CB">
      <w:pPr>
        <w:pStyle w:val="BodyTextFlush"/>
        <w:spacing w:before="200"/>
        <w:rPr>
          <w:sz w:val="20"/>
          <w:szCs w:val="20"/>
        </w:rPr>
      </w:pPr>
    </w:p>
    <w:p w:rsidR="00611E03" w:rsidRDefault="009760CB">
      <w:pPr>
        <w:pStyle w:val="BodyTextFlush"/>
        <w:spacing w:before="200"/>
        <w:jc w:val="center"/>
        <w:rPr>
          <w:sz w:val="28"/>
          <w:szCs w:val="28"/>
        </w:rPr>
      </w:pPr>
      <w:r w:rsidRPr="00127C49">
        <w:rPr>
          <w:sz w:val="28"/>
          <w:szCs w:val="28"/>
        </w:rPr>
        <w:t>[FORM OF AGREEMENT]</w:t>
      </w:r>
    </w:p>
    <w:p w:rsidR="008655FB" w:rsidRPr="007A2867" w:rsidRDefault="009760CB">
      <w:pPr>
        <w:pStyle w:val="BodyTextFlush"/>
        <w:spacing w:before="200"/>
        <w:jc w:val="center"/>
        <w:rPr>
          <w:sz w:val="28"/>
          <w:szCs w:val="28"/>
        </w:rPr>
      </w:pPr>
    </w:p>
    <w:p w:rsidR="00E4078C" w:rsidRDefault="009760CB">
      <w:pPr>
        <w:pStyle w:val="BodyTextFlush"/>
        <w:spacing w:before="200"/>
        <w:jc w:val="center"/>
        <w:rPr>
          <w:sz w:val="20"/>
          <w:szCs w:val="20"/>
        </w:rPr>
      </w:pPr>
      <w:r w:rsidRPr="009760CB">
        <w:rPr>
          <w:b/>
          <w:sz w:val="20"/>
          <w:szCs w:val="20"/>
          <w:highlight w:val="yellow"/>
        </w:rPr>
        <w:t>XXXXXXXXXXXXXXXXXX</w:t>
      </w:r>
      <w:r w:rsidRPr="009760CB">
        <w:rPr>
          <w:b/>
          <w:sz w:val="20"/>
          <w:szCs w:val="20"/>
          <w:highlight w:val="yellow"/>
        </w:rPr>
        <w:t xml:space="preserve"> </w:t>
      </w:r>
      <w:r w:rsidRPr="009760CB">
        <w:rPr>
          <w:b/>
          <w:sz w:val="20"/>
          <w:szCs w:val="20"/>
          <w:highlight w:val="yellow"/>
        </w:rPr>
        <w:t>PROJECT</w:t>
      </w:r>
    </w:p>
    <w:p w:rsidR="00E4078C" w:rsidRDefault="009760CB">
      <w:pPr>
        <w:pStyle w:val="BodyTextFlush"/>
        <w:spacing w:before="200"/>
        <w:jc w:val="center"/>
        <w:rPr>
          <w:b/>
          <w:sz w:val="20"/>
          <w:szCs w:val="20"/>
        </w:rPr>
      </w:pPr>
      <w:r>
        <w:rPr>
          <w:b/>
          <w:sz w:val="20"/>
          <w:szCs w:val="20"/>
        </w:rPr>
        <w:t>CONSTRUCTION SERVICES AGREEMENT</w:t>
      </w:r>
    </w:p>
    <w:p w:rsidR="00E4078C" w:rsidRDefault="009760CB">
      <w:pPr>
        <w:pStyle w:val="BodyTextFlush"/>
        <w:spacing w:before="200"/>
        <w:jc w:val="center"/>
        <w:rPr>
          <w:sz w:val="20"/>
          <w:szCs w:val="20"/>
        </w:rPr>
      </w:pPr>
      <w:r>
        <w:rPr>
          <w:sz w:val="20"/>
          <w:szCs w:val="20"/>
        </w:rPr>
        <w:t>Between</w:t>
      </w:r>
    </w:p>
    <w:p w:rsidR="00E4078C" w:rsidRDefault="009760CB">
      <w:pPr>
        <w:pStyle w:val="BodyTextFlush"/>
        <w:spacing w:before="200"/>
        <w:jc w:val="center"/>
        <w:rPr>
          <w:sz w:val="20"/>
          <w:szCs w:val="20"/>
        </w:rPr>
      </w:pPr>
      <w:r>
        <w:rPr>
          <w:b/>
          <w:sz w:val="20"/>
          <w:szCs w:val="20"/>
        </w:rPr>
        <w:t xml:space="preserve">WOODLAND JOINT UNIFIED </w:t>
      </w:r>
      <w:r>
        <w:rPr>
          <w:b/>
          <w:sz w:val="20"/>
          <w:szCs w:val="20"/>
        </w:rPr>
        <w:t>SCHOOL DISTRICT</w:t>
      </w:r>
    </w:p>
    <w:p w:rsidR="00E4078C" w:rsidRDefault="009760CB">
      <w:pPr>
        <w:pStyle w:val="BodyTextFlush"/>
        <w:spacing w:before="200"/>
        <w:jc w:val="center"/>
        <w:rPr>
          <w:sz w:val="20"/>
          <w:szCs w:val="20"/>
        </w:rPr>
      </w:pPr>
      <w:r>
        <w:rPr>
          <w:sz w:val="20"/>
          <w:szCs w:val="20"/>
        </w:rPr>
        <w:t>and</w:t>
      </w:r>
    </w:p>
    <w:p w:rsidR="00E4078C" w:rsidRDefault="009760CB">
      <w:pPr>
        <w:pStyle w:val="BodyTextFlush"/>
        <w:spacing w:before="200"/>
        <w:jc w:val="center"/>
        <w:rPr>
          <w:sz w:val="20"/>
          <w:szCs w:val="20"/>
        </w:rPr>
      </w:pPr>
      <w:r>
        <w:rPr>
          <w:sz w:val="20"/>
          <w:szCs w:val="20"/>
        </w:rPr>
        <w:t>[_____________________________]</w:t>
      </w:r>
    </w:p>
    <w:p w:rsidR="00E4078C" w:rsidRDefault="009760CB">
      <w:pPr>
        <w:pStyle w:val="BodyTextFlush"/>
        <w:spacing w:before="200"/>
        <w:jc w:val="center"/>
        <w:rPr>
          <w:sz w:val="20"/>
          <w:szCs w:val="20"/>
        </w:rPr>
      </w:pPr>
    </w:p>
    <w:p w:rsidR="00E4078C" w:rsidRDefault="009760CB">
      <w:pPr>
        <w:pStyle w:val="BodyTextFlush"/>
        <w:spacing w:before="200"/>
        <w:jc w:val="center"/>
        <w:rPr>
          <w:sz w:val="20"/>
          <w:szCs w:val="20"/>
        </w:rPr>
      </w:pPr>
    </w:p>
    <w:p w:rsidR="00E4078C" w:rsidRDefault="009760CB">
      <w:pPr>
        <w:pStyle w:val="BodyTextFlush"/>
        <w:spacing w:before="200"/>
        <w:jc w:val="center"/>
        <w:rPr>
          <w:sz w:val="20"/>
          <w:szCs w:val="20"/>
        </w:rPr>
      </w:pPr>
    </w:p>
    <w:p w:rsidR="00E4078C" w:rsidRDefault="009760CB">
      <w:pPr>
        <w:pStyle w:val="BodyTextFlush"/>
        <w:spacing w:before="200"/>
        <w:jc w:val="center"/>
        <w:rPr>
          <w:sz w:val="20"/>
          <w:szCs w:val="20"/>
        </w:rPr>
      </w:pPr>
      <w:r>
        <w:rPr>
          <w:sz w:val="20"/>
          <w:szCs w:val="20"/>
        </w:rPr>
        <w:t>Dated as of __________________</w:t>
      </w:r>
    </w:p>
    <w:p w:rsidR="00E4078C" w:rsidRDefault="009760CB">
      <w:pPr>
        <w:pStyle w:val="BodyTextFlush"/>
        <w:spacing w:before="200"/>
        <w:rPr>
          <w:sz w:val="20"/>
          <w:szCs w:val="20"/>
        </w:rPr>
      </w:pPr>
    </w:p>
    <w:p w:rsidR="00E4078C" w:rsidRDefault="009760CB">
      <w:pPr>
        <w:pStyle w:val="BodyTextFlush"/>
        <w:spacing w:before="200"/>
        <w:rPr>
          <w:sz w:val="20"/>
          <w:szCs w:val="20"/>
        </w:rPr>
        <w:sectPr w:rsidR="00E4078C">
          <w:headerReference w:type="default" r:id="rId7"/>
          <w:headerReference w:type="first" r:id="rId8"/>
          <w:pgSz w:w="12240" w:h="15840" w:code="1"/>
          <w:pgMar w:top="1440" w:right="1440" w:bottom="1440" w:left="1440" w:header="720" w:footer="720" w:gutter="0"/>
          <w:paperSrc w:first="260" w:other="260"/>
          <w:cols w:space="720"/>
          <w:titlePg/>
          <w:docGrid w:linePitch="360"/>
        </w:sectPr>
      </w:pPr>
    </w:p>
    <w:p w:rsidR="00C05B7A" w:rsidRDefault="009760CB">
      <w:pPr>
        <w:pStyle w:val="TOC1"/>
        <w:tabs>
          <w:tab w:val="left" w:pos="720"/>
        </w:tabs>
        <w:rPr>
          <w:rFonts w:asciiTheme="minorHAnsi" w:hAnsiTheme="minorHAnsi"/>
          <w:sz w:val="22"/>
        </w:rPr>
      </w:pPr>
      <w:r>
        <w:lastRenderedPageBreak/>
        <w:fldChar w:fldCharType="begin"/>
      </w:r>
      <w:r>
        <w:instrText xml:space="preserve"> TOC \t "Heading 1,1" </w:instrText>
      </w:r>
      <w:r>
        <w:fldChar w:fldCharType="separate"/>
      </w:r>
      <w:r>
        <w:rPr>
          <w:rFonts w:cs="Times New Roman"/>
        </w:rPr>
        <w:t>1.</w:t>
      </w:r>
      <w:r>
        <w:rPr>
          <w:rFonts w:asciiTheme="minorHAnsi" w:hAnsiTheme="minorHAnsi" w:cs="Times New Roman"/>
          <w:sz w:val="22"/>
        </w:rPr>
        <w:tab/>
      </w:r>
      <w:r>
        <w:t>GENERAL INTENT</w:t>
      </w:r>
      <w:r>
        <w:tab/>
        <w:t>1</w:t>
      </w:r>
    </w:p>
    <w:p w:rsidR="00C05B7A" w:rsidRDefault="009760CB">
      <w:pPr>
        <w:pStyle w:val="TOC1"/>
        <w:tabs>
          <w:tab w:val="left" w:pos="720"/>
        </w:tabs>
        <w:rPr>
          <w:rFonts w:asciiTheme="minorHAnsi" w:hAnsiTheme="minorHAnsi"/>
          <w:sz w:val="22"/>
        </w:rPr>
      </w:pPr>
      <w:r>
        <w:rPr>
          <w:rFonts w:cs="Times New Roman"/>
        </w:rPr>
        <w:t>2.</w:t>
      </w:r>
      <w:r>
        <w:rPr>
          <w:rFonts w:asciiTheme="minorHAnsi" w:hAnsiTheme="minorHAnsi" w:cs="Times New Roman"/>
          <w:sz w:val="22"/>
        </w:rPr>
        <w:tab/>
      </w:r>
      <w:r>
        <w:t>TITLE 24 RESPONSIBILITIES – GENERAL INTENT OF THE CSA</w:t>
      </w:r>
      <w:r>
        <w:tab/>
        <w:t>3</w:t>
      </w:r>
    </w:p>
    <w:p w:rsidR="00C05B7A" w:rsidRDefault="009760CB">
      <w:pPr>
        <w:pStyle w:val="TOC1"/>
        <w:tabs>
          <w:tab w:val="left" w:pos="720"/>
        </w:tabs>
        <w:rPr>
          <w:rFonts w:asciiTheme="minorHAnsi" w:hAnsiTheme="minorHAnsi"/>
          <w:sz w:val="22"/>
        </w:rPr>
      </w:pPr>
      <w:r>
        <w:rPr>
          <w:rFonts w:cs="Times New Roman"/>
        </w:rPr>
        <w:t>3.</w:t>
      </w:r>
      <w:r>
        <w:rPr>
          <w:rFonts w:asciiTheme="minorHAnsi" w:hAnsiTheme="minorHAnsi" w:cs="Times New Roman"/>
          <w:sz w:val="22"/>
        </w:rPr>
        <w:tab/>
      </w:r>
      <w:r>
        <w:t>CONTRACT INFORMATION</w:t>
      </w:r>
      <w:r>
        <w:tab/>
        <w:t>4</w:t>
      </w:r>
    </w:p>
    <w:p w:rsidR="00C05B7A" w:rsidRDefault="009760CB">
      <w:pPr>
        <w:pStyle w:val="TOC1"/>
        <w:tabs>
          <w:tab w:val="left" w:pos="720"/>
        </w:tabs>
        <w:rPr>
          <w:rFonts w:asciiTheme="minorHAnsi" w:hAnsiTheme="minorHAnsi"/>
          <w:sz w:val="22"/>
        </w:rPr>
      </w:pPr>
      <w:r>
        <w:rPr>
          <w:rFonts w:cs="Times New Roman"/>
        </w:rPr>
        <w:t>4.</w:t>
      </w:r>
      <w:r>
        <w:rPr>
          <w:rFonts w:asciiTheme="minorHAnsi" w:hAnsiTheme="minorHAnsi" w:cs="Times New Roman"/>
          <w:sz w:val="22"/>
        </w:rPr>
        <w:tab/>
      </w:r>
      <w:r>
        <w:t>DEFINITIONS</w:t>
      </w:r>
      <w:r>
        <w:tab/>
        <w:t>5</w:t>
      </w:r>
    </w:p>
    <w:p w:rsidR="00C05B7A" w:rsidRDefault="009760CB">
      <w:pPr>
        <w:pStyle w:val="TOC1"/>
        <w:tabs>
          <w:tab w:val="left" w:pos="720"/>
        </w:tabs>
        <w:rPr>
          <w:rFonts w:asciiTheme="minorHAnsi" w:hAnsiTheme="minorHAnsi"/>
          <w:sz w:val="22"/>
        </w:rPr>
      </w:pPr>
      <w:r>
        <w:rPr>
          <w:rFonts w:cs="Times New Roman"/>
        </w:rPr>
        <w:t>5.</w:t>
      </w:r>
      <w:r>
        <w:rPr>
          <w:rFonts w:asciiTheme="minorHAnsi" w:hAnsiTheme="minorHAnsi" w:cs="Times New Roman"/>
          <w:sz w:val="22"/>
        </w:rPr>
        <w:tab/>
      </w:r>
      <w:r>
        <w:t>ESTABLISHMENT OF GUARANTEED MAXIMUM PRICE “GMP”</w:t>
      </w:r>
      <w:r>
        <w:tab/>
        <w:t>10</w:t>
      </w:r>
    </w:p>
    <w:p w:rsidR="00C05B7A" w:rsidRDefault="009760CB">
      <w:pPr>
        <w:pStyle w:val="TOC3"/>
        <w:tabs>
          <w:tab w:val="left" w:pos="2160"/>
        </w:tabs>
        <w:rPr>
          <w:rFonts w:asciiTheme="minorHAnsi" w:hAnsiTheme="minorHAnsi"/>
          <w:sz w:val="22"/>
        </w:rPr>
      </w:pPr>
      <w:r>
        <w:rPr>
          <w:rFonts w:cs="Times New Roman"/>
        </w:rPr>
        <w:t>5.2.1</w:t>
      </w:r>
      <w:r>
        <w:rPr>
          <w:rFonts w:asciiTheme="minorHAnsi" w:hAnsiTheme="minorHAnsi" w:cs="Times New Roman"/>
          <w:sz w:val="22"/>
        </w:rPr>
        <w:tab/>
      </w:r>
      <w:r>
        <w:rPr>
          <w:rFonts w:cs="Arial"/>
          <w:i/>
          <w:kern w:val="24"/>
        </w:rPr>
        <w:t>Construction Contingency</w:t>
      </w:r>
      <w:r>
        <w:rPr>
          <w:rFonts w:cs="Arial"/>
          <w:kern w:val="24"/>
        </w:rPr>
        <w:t>. The Construction Contingency</w:t>
      </w:r>
      <w:r>
        <w:rPr>
          <w:rFonts w:cs="Arial"/>
          <w:kern w:val="24"/>
        </w:rPr>
        <w:t xml:space="preserve"> set forth at Article </w:t>
      </w:r>
      <w:r>
        <w:rPr>
          <w:rFonts w:cs="Arial"/>
          <w:kern w:val="24"/>
        </w:rPr>
        <w:t>3.7.1</w:t>
      </w:r>
      <w:r>
        <w:rPr>
          <w:rFonts w:cs="Arial"/>
          <w:kern w:val="24"/>
        </w:rPr>
        <w:t xml:space="preserve"> is for the use of the Contractor, as approved by the District, to pay for miscellaneous work items which are required to complete the Project</w:t>
      </w:r>
      <w:r>
        <w:rPr>
          <w:rFonts w:cs="Arial"/>
          <w:kern w:val="24"/>
        </w:rPr>
        <w:t xml:space="preserve"> including to</w:t>
      </w:r>
      <w:r>
        <w:tab/>
        <w:t>11</w:t>
      </w:r>
    </w:p>
    <w:p w:rsidR="00C05B7A" w:rsidRDefault="009760CB">
      <w:pPr>
        <w:pStyle w:val="TOC4"/>
        <w:tabs>
          <w:tab w:val="left" w:pos="3600"/>
        </w:tabs>
        <w:rPr>
          <w:rFonts w:asciiTheme="minorHAnsi" w:hAnsiTheme="minorHAnsi"/>
          <w:sz w:val="22"/>
        </w:rPr>
      </w:pPr>
      <w:r>
        <w:rPr>
          <w:rFonts w:cs="Times New Roman"/>
        </w:rPr>
        <w:t>5.3.3.3</w:t>
      </w:r>
      <w:r>
        <w:rPr>
          <w:rFonts w:asciiTheme="minorHAnsi" w:hAnsiTheme="minorHAnsi" w:cs="Times New Roman"/>
          <w:sz w:val="22"/>
        </w:rPr>
        <w:tab/>
      </w:r>
      <w:r>
        <w:rPr>
          <w:kern w:val="24"/>
          <w:u w:val="single"/>
        </w:rPr>
        <w:t>Review of the Environmental Documents</w:t>
      </w:r>
      <w:r>
        <w:tab/>
        <w:t>12</w:t>
      </w:r>
    </w:p>
    <w:p w:rsidR="00C05B7A" w:rsidRDefault="009760CB">
      <w:pPr>
        <w:pStyle w:val="TOC1"/>
        <w:tabs>
          <w:tab w:val="left" w:pos="720"/>
        </w:tabs>
        <w:rPr>
          <w:rFonts w:asciiTheme="minorHAnsi" w:hAnsiTheme="minorHAnsi"/>
          <w:sz w:val="22"/>
        </w:rPr>
      </w:pPr>
      <w:r>
        <w:rPr>
          <w:rFonts w:cs="Times New Roman"/>
        </w:rPr>
        <w:t>6.</w:t>
      </w:r>
      <w:r>
        <w:rPr>
          <w:rFonts w:asciiTheme="minorHAnsi" w:hAnsiTheme="minorHAnsi" w:cs="Times New Roman"/>
          <w:sz w:val="22"/>
        </w:rPr>
        <w:tab/>
      </w:r>
      <w:r>
        <w:t>OPEN BOOK ACCOUNTING AND SELECTION OF SUBCONT</w:t>
      </w:r>
      <w:r>
        <w:t>RACTORS</w:t>
      </w:r>
      <w:r>
        <w:tab/>
        <w:t>14</w:t>
      </w:r>
    </w:p>
    <w:p w:rsidR="00C05B7A" w:rsidRDefault="009760CB">
      <w:pPr>
        <w:pStyle w:val="TOC1"/>
        <w:tabs>
          <w:tab w:val="left" w:pos="720"/>
        </w:tabs>
        <w:rPr>
          <w:rFonts w:asciiTheme="minorHAnsi" w:hAnsiTheme="minorHAnsi"/>
          <w:sz w:val="22"/>
        </w:rPr>
      </w:pPr>
      <w:r>
        <w:rPr>
          <w:rFonts w:cs="Times New Roman"/>
        </w:rPr>
        <w:t>7.</w:t>
      </w:r>
      <w:r>
        <w:rPr>
          <w:rFonts w:asciiTheme="minorHAnsi" w:hAnsiTheme="minorHAnsi" w:cs="Times New Roman"/>
          <w:sz w:val="22"/>
        </w:rPr>
        <w:tab/>
      </w:r>
      <w:r>
        <w:t>SAVINGS AND VALUE ENGINEERING</w:t>
      </w:r>
      <w:r>
        <w:tab/>
        <w:t>16</w:t>
      </w:r>
    </w:p>
    <w:p w:rsidR="00C05B7A" w:rsidRDefault="009760CB">
      <w:pPr>
        <w:pStyle w:val="TOC1"/>
        <w:tabs>
          <w:tab w:val="left" w:pos="720"/>
        </w:tabs>
        <w:rPr>
          <w:rFonts w:asciiTheme="minorHAnsi" w:hAnsiTheme="minorHAnsi"/>
          <w:sz w:val="22"/>
        </w:rPr>
      </w:pPr>
      <w:r>
        <w:rPr>
          <w:rFonts w:cs="Times New Roman"/>
        </w:rPr>
        <w:t>8.</w:t>
      </w:r>
      <w:r>
        <w:rPr>
          <w:rFonts w:asciiTheme="minorHAnsi" w:hAnsiTheme="minorHAnsi" w:cs="Times New Roman"/>
          <w:sz w:val="22"/>
        </w:rPr>
        <w:tab/>
      </w:r>
      <w:r>
        <w:t>DISTRICT CONTINGENCY</w:t>
      </w:r>
      <w:r>
        <w:tab/>
        <w:t>17</w:t>
      </w:r>
    </w:p>
    <w:p w:rsidR="00C05B7A" w:rsidRDefault="009760CB">
      <w:pPr>
        <w:pStyle w:val="TOC1"/>
        <w:tabs>
          <w:tab w:val="left" w:pos="720"/>
        </w:tabs>
        <w:rPr>
          <w:rFonts w:asciiTheme="minorHAnsi" w:hAnsiTheme="minorHAnsi"/>
          <w:sz w:val="22"/>
        </w:rPr>
      </w:pPr>
      <w:r>
        <w:rPr>
          <w:rFonts w:cs="Times New Roman"/>
        </w:rPr>
        <w:t>9.</w:t>
      </w:r>
      <w:r>
        <w:rPr>
          <w:rFonts w:asciiTheme="minorHAnsi" w:hAnsiTheme="minorHAnsi" w:cs="Times New Roman"/>
          <w:sz w:val="22"/>
        </w:rPr>
        <w:tab/>
      </w:r>
      <w:r>
        <w:t>SCHEDULE</w:t>
      </w:r>
      <w:r>
        <w:tab/>
        <w:t>17</w:t>
      </w:r>
    </w:p>
    <w:p w:rsidR="00C05B7A" w:rsidRDefault="009760CB">
      <w:pPr>
        <w:pStyle w:val="TOC1"/>
        <w:tabs>
          <w:tab w:val="left" w:pos="720"/>
        </w:tabs>
        <w:rPr>
          <w:rFonts w:asciiTheme="minorHAnsi" w:hAnsiTheme="minorHAnsi"/>
          <w:sz w:val="22"/>
        </w:rPr>
      </w:pPr>
      <w:r>
        <w:rPr>
          <w:rFonts w:cs="Times New Roman"/>
        </w:rPr>
        <w:t>10.</w:t>
      </w:r>
      <w:r>
        <w:rPr>
          <w:rFonts w:asciiTheme="minorHAnsi" w:hAnsiTheme="minorHAnsi" w:cs="Times New Roman"/>
          <w:sz w:val="22"/>
        </w:rPr>
        <w:tab/>
      </w:r>
      <w:r>
        <w:t>INSPECTION OF WORK/ INSPECTOR AND ARCHITECT</w:t>
      </w:r>
      <w:r>
        <w:tab/>
        <w:t>20</w:t>
      </w:r>
    </w:p>
    <w:p w:rsidR="00C05B7A" w:rsidRDefault="009760CB">
      <w:pPr>
        <w:pStyle w:val="TOC1"/>
        <w:tabs>
          <w:tab w:val="left" w:pos="720"/>
        </w:tabs>
        <w:rPr>
          <w:rFonts w:asciiTheme="minorHAnsi" w:hAnsiTheme="minorHAnsi"/>
          <w:sz w:val="22"/>
        </w:rPr>
      </w:pPr>
      <w:r>
        <w:rPr>
          <w:rFonts w:cs="Times New Roman"/>
        </w:rPr>
        <w:t>11.</w:t>
      </w:r>
      <w:r>
        <w:rPr>
          <w:rFonts w:asciiTheme="minorHAnsi" w:hAnsiTheme="minorHAnsi" w:cs="Times New Roman"/>
          <w:sz w:val="22"/>
        </w:rPr>
        <w:tab/>
      </w:r>
      <w:r>
        <w:rPr>
          <w:rFonts w:cs="Arial"/>
          <w:kern w:val="24"/>
          <w:u w:val="single"/>
        </w:rPr>
        <w:t>ARCHITECT</w:t>
      </w:r>
      <w:r>
        <w:tab/>
        <w:t>23</w:t>
      </w:r>
    </w:p>
    <w:p w:rsidR="00C05B7A" w:rsidRDefault="009760CB">
      <w:pPr>
        <w:pStyle w:val="TOC1"/>
        <w:tabs>
          <w:tab w:val="left" w:pos="720"/>
        </w:tabs>
        <w:rPr>
          <w:rFonts w:asciiTheme="minorHAnsi" w:hAnsiTheme="minorHAnsi"/>
          <w:sz w:val="22"/>
        </w:rPr>
      </w:pPr>
      <w:r>
        <w:rPr>
          <w:rFonts w:cs="Times New Roman"/>
        </w:rPr>
        <w:t>12.</w:t>
      </w:r>
      <w:r>
        <w:rPr>
          <w:rFonts w:asciiTheme="minorHAnsi" w:hAnsiTheme="minorHAnsi" w:cs="Times New Roman"/>
          <w:sz w:val="22"/>
        </w:rPr>
        <w:tab/>
      </w:r>
      <w:r>
        <w:t>DISTRICT RESPONSIBILITIES</w:t>
      </w:r>
      <w:r>
        <w:tab/>
        <w:t>23</w:t>
      </w:r>
    </w:p>
    <w:p w:rsidR="00C05B7A" w:rsidRDefault="009760CB">
      <w:pPr>
        <w:pStyle w:val="TOC1"/>
        <w:tabs>
          <w:tab w:val="left" w:pos="720"/>
        </w:tabs>
        <w:rPr>
          <w:rFonts w:asciiTheme="minorHAnsi" w:hAnsiTheme="minorHAnsi"/>
          <w:sz w:val="22"/>
        </w:rPr>
      </w:pPr>
      <w:r>
        <w:rPr>
          <w:rFonts w:cs="Times New Roman"/>
        </w:rPr>
        <w:t>13.</w:t>
      </w:r>
      <w:r>
        <w:rPr>
          <w:rFonts w:asciiTheme="minorHAnsi" w:hAnsiTheme="minorHAnsi" w:cs="Times New Roman"/>
          <w:sz w:val="22"/>
        </w:rPr>
        <w:tab/>
      </w:r>
      <w:r>
        <w:t>CONTRACTOR RESPONSIBILITIES.</w:t>
      </w:r>
      <w:r>
        <w:tab/>
        <w:t>24</w:t>
      </w:r>
    </w:p>
    <w:p w:rsidR="00C05B7A" w:rsidRDefault="009760CB">
      <w:pPr>
        <w:pStyle w:val="TOC1"/>
        <w:tabs>
          <w:tab w:val="left" w:pos="720"/>
        </w:tabs>
        <w:rPr>
          <w:rFonts w:asciiTheme="minorHAnsi" w:hAnsiTheme="minorHAnsi"/>
          <w:sz w:val="22"/>
        </w:rPr>
      </w:pPr>
      <w:r>
        <w:rPr>
          <w:rFonts w:cs="Times New Roman"/>
        </w:rPr>
        <w:t>14.</w:t>
      </w:r>
      <w:r>
        <w:rPr>
          <w:rFonts w:asciiTheme="minorHAnsi" w:hAnsiTheme="minorHAnsi" w:cs="Times New Roman"/>
          <w:sz w:val="22"/>
        </w:rPr>
        <w:tab/>
      </w:r>
      <w:r>
        <w:t>CONTRACT DOCUMENTS AND INT</w:t>
      </w:r>
      <w:r>
        <w:t>ERPRETATIONS</w:t>
      </w:r>
      <w:r>
        <w:tab/>
        <w:t>33</w:t>
      </w:r>
    </w:p>
    <w:p w:rsidR="00C05B7A" w:rsidRDefault="009760CB">
      <w:pPr>
        <w:pStyle w:val="TOC1"/>
        <w:tabs>
          <w:tab w:val="left" w:pos="720"/>
        </w:tabs>
        <w:rPr>
          <w:rFonts w:asciiTheme="minorHAnsi" w:hAnsiTheme="minorHAnsi"/>
          <w:sz w:val="22"/>
        </w:rPr>
      </w:pPr>
      <w:r>
        <w:rPr>
          <w:rFonts w:cs="Times New Roman"/>
        </w:rPr>
        <w:t>15.</w:t>
      </w:r>
      <w:r>
        <w:rPr>
          <w:rFonts w:asciiTheme="minorHAnsi" w:hAnsiTheme="minorHAnsi" w:cs="Times New Roman"/>
          <w:sz w:val="22"/>
        </w:rPr>
        <w:tab/>
      </w:r>
      <w:r>
        <w:t>SUBMITTALS</w:t>
      </w:r>
      <w:r>
        <w:tab/>
        <w:t>33</w:t>
      </w:r>
    </w:p>
    <w:p w:rsidR="00C05B7A" w:rsidRDefault="009760CB">
      <w:pPr>
        <w:pStyle w:val="TOC1"/>
        <w:tabs>
          <w:tab w:val="left" w:pos="720"/>
        </w:tabs>
        <w:rPr>
          <w:rFonts w:asciiTheme="minorHAnsi" w:hAnsiTheme="minorHAnsi"/>
          <w:sz w:val="22"/>
        </w:rPr>
      </w:pPr>
      <w:r>
        <w:rPr>
          <w:rFonts w:cs="Times New Roman"/>
        </w:rPr>
        <w:t>16.</w:t>
      </w:r>
      <w:r>
        <w:rPr>
          <w:rFonts w:asciiTheme="minorHAnsi" w:hAnsiTheme="minorHAnsi" w:cs="Times New Roman"/>
          <w:sz w:val="22"/>
        </w:rPr>
        <w:tab/>
      </w:r>
      <w:r>
        <w:t>REQUEST FOR SUBSTITUTIONS</w:t>
      </w:r>
      <w:r>
        <w:tab/>
        <w:t>40</w:t>
      </w:r>
    </w:p>
    <w:p w:rsidR="00C05B7A" w:rsidRDefault="009760CB">
      <w:pPr>
        <w:pStyle w:val="TOC1"/>
        <w:tabs>
          <w:tab w:val="left" w:pos="720"/>
        </w:tabs>
        <w:rPr>
          <w:rFonts w:asciiTheme="minorHAnsi" w:hAnsiTheme="minorHAnsi"/>
          <w:sz w:val="22"/>
        </w:rPr>
      </w:pPr>
      <w:r>
        <w:rPr>
          <w:rFonts w:cs="Times New Roman"/>
        </w:rPr>
        <w:t>17.</w:t>
      </w:r>
      <w:r>
        <w:rPr>
          <w:rFonts w:asciiTheme="minorHAnsi" w:hAnsiTheme="minorHAnsi" w:cs="Times New Roman"/>
          <w:sz w:val="22"/>
        </w:rPr>
        <w:tab/>
      </w:r>
      <w:r>
        <w:t>EXTRA WORK/MODIFICATIONS (INCLUSION OF CCD COSTS, DSA COSTS, AND AN ICD PROCESS)</w:t>
      </w:r>
      <w:r>
        <w:tab/>
        <w:t>41</w:t>
      </w:r>
    </w:p>
    <w:p w:rsidR="00C05B7A" w:rsidRDefault="009760CB">
      <w:pPr>
        <w:pStyle w:val="TOC2"/>
        <w:tabs>
          <w:tab w:val="left" w:pos="1440"/>
        </w:tabs>
        <w:rPr>
          <w:rFonts w:asciiTheme="minorHAnsi" w:hAnsiTheme="minorHAnsi"/>
          <w:sz w:val="22"/>
        </w:rPr>
      </w:pPr>
      <w:r>
        <w:rPr>
          <w:rFonts w:cs="Times New Roman"/>
        </w:rPr>
        <w:t>17.3</w:t>
      </w:r>
      <w:r>
        <w:rPr>
          <w:rFonts w:asciiTheme="minorHAnsi" w:hAnsiTheme="minorHAnsi" w:cs="Times New Roman"/>
          <w:sz w:val="22"/>
        </w:rPr>
        <w:tab/>
      </w:r>
      <w:r>
        <w:rPr>
          <w:rFonts w:cs="Arial"/>
          <w:kern w:val="24"/>
          <w:u w:val="single"/>
        </w:rPr>
        <w:t>Architect Authority</w:t>
      </w:r>
      <w:r w:rsidRPr="00AF47D6">
        <w:rPr>
          <w:rFonts w:cs="Arial"/>
          <w:kern w:val="24"/>
        </w:rPr>
        <w:t>.</w:t>
      </w:r>
      <w:r>
        <w:tab/>
        <w:t>41</w:t>
      </w:r>
    </w:p>
    <w:p w:rsidR="00C05B7A" w:rsidRDefault="009760CB">
      <w:pPr>
        <w:pStyle w:val="TOC1"/>
        <w:tabs>
          <w:tab w:val="left" w:pos="720"/>
        </w:tabs>
        <w:rPr>
          <w:rFonts w:asciiTheme="minorHAnsi" w:hAnsiTheme="minorHAnsi"/>
          <w:sz w:val="22"/>
        </w:rPr>
      </w:pPr>
      <w:r>
        <w:rPr>
          <w:rFonts w:cs="Times New Roman"/>
        </w:rPr>
        <w:t>18.</w:t>
      </w:r>
      <w:r>
        <w:rPr>
          <w:rFonts w:asciiTheme="minorHAnsi" w:hAnsiTheme="minorHAnsi" w:cs="Times New Roman"/>
          <w:sz w:val="22"/>
        </w:rPr>
        <w:tab/>
      </w:r>
      <w:r>
        <w:t>TIME OF COMPLETION</w:t>
      </w:r>
      <w:r>
        <w:tab/>
        <w:t>45</w:t>
      </w:r>
    </w:p>
    <w:p w:rsidR="00C05B7A" w:rsidRDefault="009760CB">
      <w:pPr>
        <w:pStyle w:val="TOC1"/>
        <w:tabs>
          <w:tab w:val="left" w:pos="720"/>
        </w:tabs>
        <w:rPr>
          <w:rFonts w:asciiTheme="minorHAnsi" w:hAnsiTheme="minorHAnsi"/>
          <w:sz w:val="22"/>
        </w:rPr>
      </w:pPr>
      <w:r>
        <w:rPr>
          <w:rFonts w:cs="Times New Roman"/>
        </w:rPr>
        <w:t>19.</w:t>
      </w:r>
      <w:r>
        <w:rPr>
          <w:rFonts w:asciiTheme="minorHAnsi" w:hAnsiTheme="minorHAnsi" w:cs="Times New Roman"/>
          <w:sz w:val="22"/>
        </w:rPr>
        <w:tab/>
      </w:r>
      <w:r>
        <w:t>TERMINATION OF AGREEMENT</w:t>
      </w:r>
      <w:r>
        <w:tab/>
        <w:t>47</w:t>
      </w:r>
    </w:p>
    <w:p w:rsidR="00C05B7A" w:rsidRDefault="009760CB">
      <w:pPr>
        <w:pStyle w:val="TOC1"/>
        <w:tabs>
          <w:tab w:val="left" w:pos="720"/>
        </w:tabs>
        <w:rPr>
          <w:rFonts w:asciiTheme="minorHAnsi" w:hAnsiTheme="minorHAnsi"/>
          <w:sz w:val="22"/>
        </w:rPr>
      </w:pPr>
      <w:r>
        <w:rPr>
          <w:rFonts w:cs="Times New Roman"/>
        </w:rPr>
        <w:t>20.</w:t>
      </w:r>
      <w:r>
        <w:rPr>
          <w:rFonts w:asciiTheme="minorHAnsi" w:hAnsiTheme="minorHAnsi" w:cs="Times New Roman"/>
          <w:sz w:val="22"/>
        </w:rPr>
        <w:tab/>
      </w:r>
      <w:r>
        <w:t>RESOLUTION</w:t>
      </w:r>
      <w:r>
        <w:t xml:space="preserve"> OF AGREEMENT CLAIMS</w:t>
      </w:r>
      <w:r>
        <w:tab/>
        <w:t>50</w:t>
      </w:r>
    </w:p>
    <w:p w:rsidR="00C05B7A" w:rsidRDefault="009760CB">
      <w:pPr>
        <w:pStyle w:val="TOC1"/>
        <w:tabs>
          <w:tab w:val="left" w:pos="720"/>
        </w:tabs>
        <w:rPr>
          <w:rFonts w:asciiTheme="minorHAnsi" w:hAnsiTheme="minorHAnsi"/>
          <w:sz w:val="22"/>
        </w:rPr>
      </w:pPr>
      <w:r>
        <w:rPr>
          <w:rFonts w:cs="Times New Roman"/>
        </w:rPr>
        <w:t>21.</w:t>
      </w:r>
      <w:r>
        <w:rPr>
          <w:rFonts w:asciiTheme="minorHAnsi" w:hAnsiTheme="minorHAnsi" w:cs="Times New Roman"/>
          <w:sz w:val="22"/>
        </w:rPr>
        <w:tab/>
      </w:r>
      <w:r>
        <w:t>MAINTENANCE OF RECORDS; AUDIT/OWNERSHIP OF DOCUMENTS</w:t>
      </w:r>
      <w:r>
        <w:tab/>
        <w:t>57</w:t>
      </w:r>
    </w:p>
    <w:p w:rsidR="00C05B7A" w:rsidRDefault="009760CB">
      <w:pPr>
        <w:pStyle w:val="TOC1"/>
        <w:tabs>
          <w:tab w:val="left" w:pos="720"/>
        </w:tabs>
        <w:rPr>
          <w:rFonts w:asciiTheme="minorHAnsi" w:hAnsiTheme="minorHAnsi"/>
          <w:sz w:val="22"/>
        </w:rPr>
      </w:pPr>
      <w:r>
        <w:rPr>
          <w:rFonts w:cs="Times New Roman"/>
        </w:rPr>
        <w:t>22.</w:t>
      </w:r>
      <w:r>
        <w:rPr>
          <w:rFonts w:asciiTheme="minorHAnsi" w:hAnsiTheme="minorHAnsi" w:cs="Times New Roman"/>
          <w:sz w:val="22"/>
        </w:rPr>
        <w:tab/>
      </w:r>
      <w:r>
        <w:t>PREVAILING RATES OF WAGES; RECORDS, APPRENTICES</w:t>
      </w:r>
      <w:r>
        <w:tab/>
        <w:t>59</w:t>
      </w:r>
    </w:p>
    <w:p w:rsidR="00C05B7A" w:rsidRDefault="009760CB">
      <w:pPr>
        <w:pStyle w:val="TOC1"/>
        <w:tabs>
          <w:tab w:val="left" w:pos="720"/>
        </w:tabs>
        <w:rPr>
          <w:rFonts w:asciiTheme="minorHAnsi" w:hAnsiTheme="minorHAnsi"/>
          <w:sz w:val="22"/>
        </w:rPr>
      </w:pPr>
      <w:r>
        <w:rPr>
          <w:rFonts w:cs="Times New Roman"/>
        </w:rPr>
        <w:t>23.</w:t>
      </w:r>
      <w:r>
        <w:rPr>
          <w:rFonts w:asciiTheme="minorHAnsi" w:hAnsiTheme="minorHAnsi" w:cs="Times New Roman"/>
          <w:sz w:val="22"/>
        </w:rPr>
        <w:tab/>
      </w:r>
      <w:r>
        <w:t>RECORDS OF WAGES PAID</w:t>
      </w:r>
      <w:r>
        <w:tab/>
        <w:t>60</w:t>
      </w:r>
    </w:p>
    <w:p w:rsidR="00C05B7A" w:rsidRDefault="009760CB">
      <w:pPr>
        <w:pStyle w:val="TOC1"/>
        <w:tabs>
          <w:tab w:val="left" w:pos="720"/>
        </w:tabs>
        <w:rPr>
          <w:rFonts w:asciiTheme="minorHAnsi" w:hAnsiTheme="minorHAnsi"/>
          <w:sz w:val="22"/>
        </w:rPr>
      </w:pPr>
      <w:r>
        <w:rPr>
          <w:rFonts w:cs="Times New Roman"/>
        </w:rPr>
        <w:t>24.</w:t>
      </w:r>
      <w:r>
        <w:rPr>
          <w:rFonts w:asciiTheme="minorHAnsi" w:hAnsiTheme="minorHAnsi" w:cs="Times New Roman"/>
          <w:sz w:val="22"/>
        </w:rPr>
        <w:tab/>
      </w:r>
      <w:r>
        <w:t>APPRENTICES</w:t>
      </w:r>
      <w:r>
        <w:tab/>
        <w:t>61</w:t>
      </w:r>
    </w:p>
    <w:p w:rsidR="00C05B7A" w:rsidRDefault="009760CB">
      <w:pPr>
        <w:pStyle w:val="TOC1"/>
        <w:tabs>
          <w:tab w:val="left" w:pos="720"/>
        </w:tabs>
        <w:rPr>
          <w:rFonts w:asciiTheme="minorHAnsi" w:hAnsiTheme="minorHAnsi"/>
          <w:sz w:val="22"/>
        </w:rPr>
      </w:pPr>
      <w:r>
        <w:rPr>
          <w:rFonts w:cs="Times New Roman"/>
        </w:rPr>
        <w:t>25.</w:t>
      </w:r>
      <w:r>
        <w:rPr>
          <w:rFonts w:asciiTheme="minorHAnsi" w:hAnsiTheme="minorHAnsi" w:cs="Times New Roman"/>
          <w:sz w:val="22"/>
        </w:rPr>
        <w:tab/>
      </w:r>
      <w:r>
        <w:t>REGISTRATION WITH DEPARTMENT OF INDUSTRIAL RELATIONS</w:t>
      </w:r>
      <w:r>
        <w:tab/>
        <w:t>62</w:t>
      </w:r>
    </w:p>
    <w:p w:rsidR="00C05B7A" w:rsidRDefault="009760CB">
      <w:pPr>
        <w:pStyle w:val="TOC1"/>
        <w:tabs>
          <w:tab w:val="left" w:pos="720"/>
        </w:tabs>
        <w:rPr>
          <w:rFonts w:asciiTheme="minorHAnsi" w:hAnsiTheme="minorHAnsi"/>
          <w:sz w:val="22"/>
        </w:rPr>
      </w:pPr>
      <w:r>
        <w:rPr>
          <w:rFonts w:cs="Times New Roman"/>
        </w:rPr>
        <w:t>26.</w:t>
      </w:r>
      <w:r>
        <w:rPr>
          <w:rFonts w:asciiTheme="minorHAnsi" w:hAnsiTheme="minorHAnsi" w:cs="Times New Roman"/>
          <w:sz w:val="22"/>
        </w:rPr>
        <w:tab/>
      </w:r>
      <w:r>
        <w:t>HOURS</w:t>
      </w:r>
      <w:r>
        <w:t xml:space="preserve"> OF WORK</w:t>
      </w:r>
      <w:r>
        <w:tab/>
        <w:t>63</w:t>
      </w:r>
    </w:p>
    <w:p w:rsidR="00C05B7A" w:rsidRDefault="009760CB">
      <w:pPr>
        <w:pStyle w:val="TOC1"/>
        <w:tabs>
          <w:tab w:val="left" w:pos="720"/>
        </w:tabs>
        <w:rPr>
          <w:rFonts w:asciiTheme="minorHAnsi" w:hAnsiTheme="minorHAnsi"/>
          <w:sz w:val="22"/>
        </w:rPr>
      </w:pPr>
      <w:r>
        <w:rPr>
          <w:rFonts w:cs="Times New Roman"/>
        </w:rPr>
        <w:t>27.</w:t>
      </w:r>
      <w:r>
        <w:rPr>
          <w:rFonts w:asciiTheme="minorHAnsi" w:hAnsiTheme="minorHAnsi" w:cs="Times New Roman"/>
          <w:sz w:val="22"/>
        </w:rPr>
        <w:tab/>
      </w:r>
      <w:r>
        <w:t>SKILLED AND TRAINED WORKFORCE</w:t>
      </w:r>
      <w:r>
        <w:tab/>
        <w:t>64</w:t>
      </w:r>
    </w:p>
    <w:p w:rsidR="00C05B7A" w:rsidRDefault="009760CB">
      <w:pPr>
        <w:pStyle w:val="TOC1"/>
        <w:tabs>
          <w:tab w:val="left" w:pos="720"/>
        </w:tabs>
        <w:rPr>
          <w:rFonts w:asciiTheme="minorHAnsi" w:hAnsiTheme="minorHAnsi"/>
          <w:sz w:val="22"/>
        </w:rPr>
      </w:pPr>
      <w:r>
        <w:rPr>
          <w:rFonts w:cs="Times New Roman"/>
        </w:rPr>
        <w:t>28.</w:t>
      </w:r>
      <w:r>
        <w:rPr>
          <w:rFonts w:asciiTheme="minorHAnsi" w:hAnsiTheme="minorHAnsi" w:cs="Times New Roman"/>
          <w:sz w:val="22"/>
        </w:rPr>
        <w:tab/>
      </w:r>
      <w:r>
        <w:t>PROTECTION OF PERSONS AND PROPERTY</w:t>
      </w:r>
      <w:r>
        <w:tab/>
        <w:t>65</w:t>
      </w:r>
    </w:p>
    <w:p w:rsidR="00C05B7A" w:rsidRDefault="009760CB">
      <w:pPr>
        <w:pStyle w:val="TOC1"/>
        <w:tabs>
          <w:tab w:val="left" w:pos="720"/>
        </w:tabs>
        <w:rPr>
          <w:rFonts w:asciiTheme="minorHAnsi" w:hAnsiTheme="minorHAnsi"/>
          <w:sz w:val="22"/>
        </w:rPr>
      </w:pPr>
      <w:r>
        <w:rPr>
          <w:rFonts w:cs="Times New Roman"/>
        </w:rPr>
        <w:t>29.</w:t>
      </w:r>
      <w:r>
        <w:rPr>
          <w:rFonts w:asciiTheme="minorHAnsi" w:hAnsiTheme="minorHAnsi" w:cs="Times New Roman"/>
          <w:sz w:val="22"/>
        </w:rPr>
        <w:tab/>
      </w:r>
      <w:r>
        <w:t>PAYMENTS</w:t>
      </w:r>
      <w:r>
        <w:t xml:space="preserve"> AND </w:t>
      </w:r>
      <w:r>
        <w:t>RETENTION</w:t>
      </w:r>
      <w:r>
        <w:tab/>
        <w:t>68</w:t>
      </w:r>
    </w:p>
    <w:p w:rsidR="00C05B7A" w:rsidRDefault="009760CB">
      <w:pPr>
        <w:pStyle w:val="TOC1"/>
        <w:tabs>
          <w:tab w:val="left" w:pos="720"/>
        </w:tabs>
        <w:rPr>
          <w:rFonts w:asciiTheme="minorHAnsi" w:hAnsiTheme="minorHAnsi"/>
          <w:sz w:val="22"/>
        </w:rPr>
      </w:pPr>
      <w:r>
        <w:rPr>
          <w:rFonts w:cs="Times New Roman"/>
        </w:rPr>
        <w:lastRenderedPageBreak/>
        <w:t>30.</w:t>
      </w:r>
      <w:r>
        <w:rPr>
          <w:rFonts w:asciiTheme="minorHAnsi" w:hAnsiTheme="minorHAnsi" w:cs="Times New Roman"/>
          <w:sz w:val="22"/>
        </w:rPr>
        <w:tab/>
      </w:r>
      <w:r>
        <w:t>NONCONFORMING WORK</w:t>
      </w:r>
      <w:r>
        <w:tab/>
        <w:t>71</w:t>
      </w:r>
    </w:p>
    <w:p w:rsidR="00C05B7A" w:rsidRDefault="009760CB">
      <w:pPr>
        <w:pStyle w:val="TOC1"/>
        <w:tabs>
          <w:tab w:val="left" w:pos="720"/>
        </w:tabs>
        <w:rPr>
          <w:rFonts w:asciiTheme="minorHAnsi" w:hAnsiTheme="minorHAnsi"/>
          <w:sz w:val="22"/>
        </w:rPr>
      </w:pPr>
      <w:r>
        <w:rPr>
          <w:rFonts w:cs="Times New Roman"/>
        </w:rPr>
        <w:t>31.</w:t>
      </w:r>
      <w:r>
        <w:rPr>
          <w:rFonts w:asciiTheme="minorHAnsi" w:hAnsiTheme="minorHAnsi" w:cs="Times New Roman"/>
          <w:sz w:val="22"/>
        </w:rPr>
        <w:tab/>
      </w:r>
      <w:r>
        <w:t>SUBCONTRACTOR PAYMENTS</w:t>
      </w:r>
      <w:r>
        <w:tab/>
        <w:t>71</w:t>
      </w:r>
    </w:p>
    <w:p w:rsidR="00C05B7A" w:rsidRDefault="009760CB">
      <w:pPr>
        <w:pStyle w:val="TOC1"/>
        <w:tabs>
          <w:tab w:val="left" w:pos="720"/>
        </w:tabs>
        <w:rPr>
          <w:rFonts w:asciiTheme="minorHAnsi" w:hAnsiTheme="minorHAnsi"/>
          <w:sz w:val="22"/>
        </w:rPr>
      </w:pPr>
      <w:r>
        <w:rPr>
          <w:rFonts w:cs="Times New Roman"/>
        </w:rPr>
        <w:t>32.</w:t>
      </w:r>
      <w:r>
        <w:rPr>
          <w:rFonts w:asciiTheme="minorHAnsi" w:hAnsiTheme="minorHAnsi" w:cs="Times New Roman"/>
          <w:sz w:val="22"/>
        </w:rPr>
        <w:tab/>
      </w:r>
      <w:r>
        <w:t>SEPARATE CONTRACTS</w:t>
      </w:r>
      <w:r>
        <w:tab/>
        <w:t>72</w:t>
      </w:r>
    </w:p>
    <w:p w:rsidR="00C05B7A" w:rsidRDefault="009760CB">
      <w:pPr>
        <w:pStyle w:val="TOC1"/>
        <w:tabs>
          <w:tab w:val="left" w:pos="720"/>
        </w:tabs>
        <w:rPr>
          <w:rFonts w:asciiTheme="minorHAnsi" w:hAnsiTheme="minorHAnsi"/>
          <w:sz w:val="22"/>
        </w:rPr>
      </w:pPr>
      <w:r>
        <w:rPr>
          <w:rFonts w:cs="Times New Roman"/>
        </w:rPr>
        <w:t>33.</w:t>
      </w:r>
      <w:r>
        <w:rPr>
          <w:rFonts w:asciiTheme="minorHAnsi" w:hAnsiTheme="minorHAnsi" w:cs="Times New Roman"/>
          <w:sz w:val="22"/>
        </w:rPr>
        <w:tab/>
      </w:r>
      <w:r>
        <w:t>USE OF PREMISES/SAFETY</w:t>
      </w:r>
      <w:r>
        <w:tab/>
        <w:t>72</w:t>
      </w:r>
    </w:p>
    <w:p w:rsidR="00C05B7A" w:rsidRDefault="009760CB">
      <w:pPr>
        <w:pStyle w:val="TOC1"/>
        <w:tabs>
          <w:tab w:val="left" w:pos="720"/>
        </w:tabs>
        <w:rPr>
          <w:rFonts w:asciiTheme="minorHAnsi" w:hAnsiTheme="minorHAnsi"/>
          <w:sz w:val="22"/>
        </w:rPr>
      </w:pPr>
      <w:r>
        <w:rPr>
          <w:rFonts w:cs="Times New Roman"/>
        </w:rPr>
        <w:t>34.</w:t>
      </w:r>
      <w:r>
        <w:rPr>
          <w:rFonts w:asciiTheme="minorHAnsi" w:hAnsiTheme="minorHAnsi" w:cs="Times New Roman"/>
          <w:sz w:val="22"/>
        </w:rPr>
        <w:tab/>
      </w:r>
      <w:r>
        <w:t>CLEANING UP</w:t>
      </w:r>
      <w:r>
        <w:tab/>
        <w:t>72</w:t>
      </w:r>
    </w:p>
    <w:p w:rsidR="00C05B7A" w:rsidRDefault="009760CB">
      <w:pPr>
        <w:pStyle w:val="TOC1"/>
        <w:tabs>
          <w:tab w:val="left" w:pos="720"/>
        </w:tabs>
        <w:rPr>
          <w:rFonts w:asciiTheme="minorHAnsi" w:hAnsiTheme="minorHAnsi"/>
          <w:sz w:val="22"/>
        </w:rPr>
      </w:pPr>
      <w:r>
        <w:rPr>
          <w:rFonts w:cs="Times New Roman"/>
        </w:rPr>
        <w:t>35.</w:t>
      </w:r>
      <w:r>
        <w:rPr>
          <w:rFonts w:asciiTheme="minorHAnsi" w:hAnsiTheme="minorHAnsi" w:cs="Times New Roman"/>
          <w:sz w:val="22"/>
        </w:rPr>
        <w:tab/>
      </w:r>
      <w:r>
        <w:t>INSURANCE</w:t>
      </w:r>
      <w:r>
        <w:tab/>
        <w:t>74</w:t>
      </w:r>
    </w:p>
    <w:p w:rsidR="00C05B7A" w:rsidRDefault="009760CB">
      <w:pPr>
        <w:pStyle w:val="TOC1"/>
        <w:tabs>
          <w:tab w:val="left" w:pos="720"/>
        </w:tabs>
        <w:rPr>
          <w:rFonts w:asciiTheme="minorHAnsi" w:hAnsiTheme="minorHAnsi"/>
          <w:sz w:val="22"/>
        </w:rPr>
      </w:pPr>
      <w:r>
        <w:rPr>
          <w:rFonts w:cs="Times New Roman"/>
        </w:rPr>
        <w:t>36.</w:t>
      </w:r>
      <w:r>
        <w:rPr>
          <w:rFonts w:asciiTheme="minorHAnsi" w:hAnsiTheme="minorHAnsi" w:cs="Times New Roman"/>
          <w:sz w:val="22"/>
        </w:rPr>
        <w:tab/>
      </w:r>
      <w:r>
        <w:t>HOLD HARMLESS AND INDEMNITY</w:t>
      </w:r>
      <w:r>
        <w:tab/>
        <w:t>78</w:t>
      </w:r>
    </w:p>
    <w:p w:rsidR="00C05B7A" w:rsidRDefault="009760CB">
      <w:pPr>
        <w:pStyle w:val="TOC1"/>
        <w:tabs>
          <w:tab w:val="left" w:pos="720"/>
        </w:tabs>
        <w:rPr>
          <w:rFonts w:asciiTheme="minorHAnsi" w:hAnsiTheme="minorHAnsi"/>
          <w:sz w:val="22"/>
        </w:rPr>
      </w:pPr>
      <w:r>
        <w:rPr>
          <w:rFonts w:cs="Times New Roman"/>
        </w:rPr>
        <w:t>37.</w:t>
      </w:r>
      <w:r>
        <w:rPr>
          <w:rFonts w:asciiTheme="minorHAnsi" w:hAnsiTheme="minorHAnsi" w:cs="Times New Roman"/>
          <w:sz w:val="22"/>
        </w:rPr>
        <w:tab/>
      </w:r>
      <w:r>
        <w:t>SUBSTITUTION OF SECURITY</w:t>
      </w:r>
      <w:r>
        <w:tab/>
        <w:t>79</w:t>
      </w:r>
    </w:p>
    <w:p w:rsidR="00C05B7A" w:rsidRDefault="009760CB">
      <w:pPr>
        <w:pStyle w:val="TOC1"/>
        <w:tabs>
          <w:tab w:val="left" w:pos="720"/>
        </w:tabs>
        <w:rPr>
          <w:rFonts w:asciiTheme="minorHAnsi" w:hAnsiTheme="minorHAnsi"/>
          <w:sz w:val="22"/>
        </w:rPr>
      </w:pPr>
      <w:r>
        <w:rPr>
          <w:rFonts w:cs="Times New Roman"/>
        </w:rPr>
        <w:t>38.</w:t>
      </w:r>
      <w:r>
        <w:rPr>
          <w:rFonts w:asciiTheme="minorHAnsi" w:hAnsiTheme="minorHAnsi" w:cs="Times New Roman"/>
          <w:sz w:val="22"/>
        </w:rPr>
        <w:tab/>
      </w:r>
      <w:r>
        <w:t>TITLE TO WORK</w:t>
      </w:r>
      <w:r>
        <w:tab/>
        <w:t>79</w:t>
      </w:r>
    </w:p>
    <w:p w:rsidR="00C05B7A" w:rsidRDefault="009760CB">
      <w:pPr>
        <w:pStyle w:val="TOC1"/>
        <w:tabs>
          <w:tab w:val="left" w:pos="720"/>
        </w:tabs>
        <w:rPr>
          <w:rFonts w:asciiTheme="minorHAnsi" w:hAnsiTheme="minorHAnsi"/>
          <w:sz w:val="22"/>
        </w:rPr>
      </w:pPr>
      <w:r>
        <w:rPr>
          <w:rFonts w:cs="Times New Roman"/>
        </w:rPr>
        <w:t>39.</w:t>
      </w:r>
      <w:r>
        <w:rPr>
          <w:rFonts w:asciiTheme="minorHAnsi" w:hAnsiTheme="minorHAnsi" w:cs="Times New Roman"/>
          <w:sz w:val="22"/>
        </w:rPr>
        <w:tab/>
      </w:r>
      <w:r>
        <w:t>COMPLIANCE WITH STATE STORM WATER PERMIT FOR CONSTRUCTION</w:t>
      </w:r>
      <w:r>
        <w:tab/>
        <w:t>79</w:t>
      </w:r>
    </w:p>
    <w:p w:rsidR="00C05B7A" w:rsidRDefault="009760CB">
      <w:pPr>
        <w:pStyle w:val="TOC1"/>
        <w:tabs>
          <w:tab w:val="left" w:pos="720"/>
        </w:tabs>
        <w:rPr>
          <w:rFonts w:asciiTheme="minorHAnsi" w:hAnsiTheme="minorHAnsi"/>
          <w:sz w:val="22"/>
        </w:rPr>
      </w:pPr>
      <w:r>
        <w:rPr>
          <w:rFonts w:cs="Times New Roman"/>
        </w:rPr>
        <w:t>40.</w:t>
      </w:r>
      <w:r>
        <w:rPr>
          <w:rFonts w:asciiTheme="minorHAnsi" w:hAnsiTheme="minorHAnsi" w:cs="Times New Roman"/>
          <w:sz w:val="22"/>
        </w:rPr>
        <w:tab/>
      </w:r>
      <w:r>
        <w:t>EQUAL OPPORTUNITY CLAUSE</w:t>
      </w:r>
      <w:r>
        <w:tab/>
        <w:t>79</w:t>
      </w:r>
    </w:p>
    <w:p w:rsidR="00C05B7A" w:rsidRDefault="009760CB">
      <w:pPr>
        <w:pStyle w:val="TOC1"/>
        <w:tabs>
          <w:tab w:val="left" w:pos="720"/>
        </w:tabs>
        <w:rPr>
          <w:rFonts w:asciiTheme="minorHAnsi" w:hAnsiTheme="minorHAnsi"/>
          <w:sz w:val="22"/>
        </w:rPr>
      </w:pPr>
      <w:r>
        <w:rPr>
          <w:rFonts w:cs="Times New Roman"/>
        </w:rPr>
        <w:t>41.</w:t>
      </w:r>
      <w:r>
        <w:rPr>
          <w:rFonts w:asciiTheme="minorHAnsi" w:hAnsiTheme="minorHAnsi" w:cs="Times New Roman"/>
          <w:sz w:val="22"/>
        </w:rPr>
        <w:tab/>
      </w:r>
      <w:r>
        <w:t>SPECIAL NOTICE OF AMERICAN’S WITH DISABILITIES ACT</w:t>
      </w:r>
      <w:r>
        <w:tab/>
        <w:t>80</w:t>
      </w:r>
    </w:p>
    <w:p w:rsidR="00C05B7A" w:rsidRDefault="009760CB">
      <w:pPr>
        <w:pStyle w:val="TOC1"/>
        <w:tabs>
          <w:tab w:val="left" w:pos="720"/>
        </w:tabs>
        <w:rPr>
          <w:rFonts w:asciiTheme="minorHAnsi" w:hAnsiTheme="minorHAnsi"/>
          <w:sz w:val="22"/>
        </w:rPr>
      </w:pPr>
      <w:r>
        <w:rPr>
          <w:rFonts w:cs="Times New Roman"/>
        </w:rPr>
        <w:t>42.</w:t>
      </w:r>
      <w:r>
        <w:rPr>
          <w:rFonts w:asciiTheme="minorHAnsi" w:hAnsiTheme="minorHAnsi" w:cs="Times New Roman"/>
          <w:sz w:val="22"/>
        </w:rPr>
        <w:tab/>
      </w:r>
      <w:r>
        <w:t>PATENTS, ROYALTIES, AND INDEMNITIES</w:t>
      </w:r>
      <w:r>
        <w:tab/>
        <w:t>80</w:t>
      </w:r>
    </w:p>
    <w:p w:rsidR="00C05B7A" w:rsidRDefault="009760CB">
      <w:pPr>
        <w:pStyle w:val="TOC1"/>
        <w:tabs>
          <w:tab w:val="left" w:pos="720"/>
        </w:tabs>
        <w:rPr>
          <w:rFonts w:asciiTheme="minorHAnsi" w:hAnsiTheme="minorHAnsi"/>
          <w:sz w:val="22"/>
        </w:rPr>
      </w:pPr>
      <w:r>
        <w:rPr>
          <w:rFonts w:cs="Times New Roman"/>
        </w:rPr>
        <w:t>43.</w:t>
      </w:r>
      <w:r>
        <w:rPr>
          <w:rFonts w:asciiTheme="minorHAnsi" w:hAnsiTheme="minorHAnsi" w:cs="Times New Roman"/>
          <w:sz w:val="22"/>
        </w:rPr>
        <w:tab/>
      </w:r>
      <w:r>
        <w:t>EXCISE TAX</w:t>
      </w:r>
      <w:r>
        <w:tab/>
        <w:t>80</w:t>
      </w:r>
    </w:p>
    <w:p w:rsidR="00C05B7A" w:rsidRDefault="009760CB">
      <w:pPr>
        <w:pStyle w:val="TOC1"/>
        <w:tabs>
          <w:tab w:val="left" w:pos="720"/>
        </w:tabs>
        <w:rPr>
          <w:rFonts w:asciiTheme="minorHAnsi" w:hAnsiTheme="minorHAnsi"/>
          <w:sz w:val="22"/>
        </w:rPr>
      </w:pPr>
      <w:r>
        <w:rPr>
          <w:rFonts w:cs="Times New Roman"/>
        </w:rPr>
        <w:t>44.</w:t>
      </w:r>
      <w:r>
        <w:rPr>
          <w:rFonts w:asciiTheme="minorHAnsi" w:hAnsiTheme="minorHAnsi" w:cs="Times New Roman"/>
          <w:sz w:val="22"/>
        </w:rPr>
        <w:tab/>
      </w:r>
      <w:r>
        <w:t>PROHIBITED INTERESTS</w:t>
      </w:r>
      <w:r>
        <w:tab/>
        <w:t>81</w:t>
      </w:r>
    </w:p>
    <w:p w:rsidR="00C05B7A" w:rsidRDefault="009760CB">
      <w:pPr>
        <w:pStyle w:val="TOC1"/>
        <w:tabs>
          <w:tab w:val="left" w:pos="720"/>
        </w:tabs>
        <w:rPr>
          <w:rFonts w:asciiTheme="minorHAnsi" w:hAnsiTheme="minorHAnsi"/>
          <w:sz w:val="22"/>
        </w:rPr>
      </w:pPr>
      <w:r>
        <w:rPr>
          <w:rFonts w:cs="Times New Roman"/>
        </w:rPr>
        <w:t>45.</w:t>
      </w:r>
      <w:r>
        <w:rPr>
          <w:rFonts w:asciiTheme="minorHAnsi" w:hAnsiTheme="minorHAnsi" w:cs="Times New Roman"/>
          <w:sz w:val="22"/>
        </w:rPr>
        <w:tab/>
      </w:r>
      <w:r>
        <w:t>COMPLIANCE WITH DTSC GUIDELINES – IMPORTED SOIL/SOILS INSPECTION</w:t>
      </w:r>
      <w:r>
        <w:tab/>
        <w:t>81</w:t>
      </w:r>
    </w:p>
    <w:p w:rsidR="00C05B7A" w:rsidRDefault="009760CB">
      <w:pPr>
        <w:pStyle w:val="TOC1"/>
        <w:tabs>
          <w:tab w:val="left" w:pos="720"/>
        </w:tabs>
        <w:rPr>
          <w:rFonts w:asciiTheme="minorHAnsi" w:hAnsiTheme="minorHAnsi"/>
          <w:sz w:val="22"/>
        </w:rPr>
      </w:pPr>
      <w:r>
        <w:rPr>
          <w:rFonts w:cs="Times New Roman"/>
        </w:rPr>
        <w:t>46.</w:t>
      </w:r>
      <w:r>
        <w:rPr>
          <w:rFonts w:asciiTheme="minorHAnsi" w:hAnsiTheme="minorHAnsi" w:cs="Times New Roman"/>
          <w:sz w:val="22"/>
        </w:rPr>
        <w:tab/>
      </w:r>
      <w:r>
        <w:t>HAZARDOUS WASTE AND UNKNOWN PHYSICAL CONDITIONS</w:t>
      </w:r>
      <w:r>
        <w:tab/>
        <w:t>81</w:t>
      </w:r>
    </w:p>
    <w:p w:rsidR="00C05B7A" w:rsidRDefault="009760CB">
      <w:pPr>
        <w:pStyle w:val="TOC1"/>
        <w:tabs>
          <w:tab w:val="left" w:pos="720"/>
        </w:tabs>
        <w:rPr>
          <w:rFonts w:asciiTheme="minorHAnsi" w:hAnsiTheme="minorHAnsi"/>
          <w:sz w:val="22"/>
        </w:rPr>
      </w:pPr>
      <w:r>
        <w:rPr>
          <w:rFonts w:cs="Times New Roman"/>
        </w:rPr>
        <w:t>47.</w:t>
      </w:r>
      <w:r>
        <w:rPr>
          <w:rFonts w:asciiTheme="minorHAnsi" w:hAnsiTheme="minorHAnsi" w:cs="Times New Roman"/>
          <w:sz w:val="22"/>
        </w:rPr>
        <w:tab/>
      </w:r>
      <w:r>
        <w:t>NO ASBESTOS CERTIFICATION</w:t>
      </w:r>
      <w:r>
        <w:tab/>
        <w:t>82</w:t>
      </w:r>
    </w:p>
    <w:p w:rsidR="00C05B7A" w:rsidRDefault="009760CB">
      <w:pPr>
        <w:pStyle w:val="TOC1"/>
        <w:tabs>
          <w:tab w:val="left" w:pos="720"/>
        </w:tabs>
        <w:rPr>
          <w:rFonts w:asciiTheme="minorHAnsi" w:hAnsiTheme="minorHAnsi"/>
          <w:sz w:val="22"/>
        </w:rPr>
      </w:pPr>
      <w:r>
        <w:rPr>
          <w:rFonts w:cs="Times New Roman"/>
        </w:rPr>
        <w:t>48.</w:t>
      </w:r>
      <w:r>
        <w:rPr>
          <w:rFonts w:asciiTheme="minorHAnsi" w:hAnsiTheme="minorHAnsi" w:cs="Times New Roman"/>
          <w:sz w:val="22"/>
        </w:rPr>
        <w:tab/>
      </w:r>
      <w:r>
        <w:t>LAWS AND REGULATIONS</w:t>
      </w:r>
      <w:r>
        <w:tab/>
        <w:t>83</w:t>
      </w:r>
    </w:p>
    <w:p w:rsidR="00C05B7A" w:rsidRDefault="009760CB">
      <w:pPr>
        <w:pStyle w:val="TOC1"/>
        <w:tabs>
          <w:tab w:val="left" w:pos="720"/>
        </w:tabs>
        <w:rPr>
          <w:rFonts w:asciiTheme="minorHAnsi" w:hAnsiTheme="minorHAnsi"/>
          <w:sz w:val="22"/>
        </w:rPr>
      </w:pPr>
      <w:r>
        <w:rPr>
          <w:rFonts w:cs="Times New Roman"/>
        </w:rPr>
        <w:t>49.</w:t>
      </w:r>
      <w:r>
        <w:rPr>
          <w:rFonts w:asciiTheme="minorHAnsi" w:hAnsiTheme="minorHAnsi" w:cs="Times New Roman"/>
          <w:sz w:val="22"/>
        </w:rPr>
        <w:tab/>
      </w:r>
      <w:r>
        <w:t>AGREEMENT MODIFICATIONS</w:t>
      </w:r>
      <w:r>
        <w:tab/>
        <w:t>83</w:t>
      </w:r>
    </w:p>
    <w:p w:rsidR="00C05B7A" w:rsidRDefault="009760CB">
      <w:pPr>
        <w:pStyle w:val="TOC1"/>
        <w:tabs>
          <w:tab w:val="left" w:pos="720"/>
        </w:tabs>
        <w:rPr>
          <w:rFonts w:asciiTheme="minorHAnsi" w:hAnsiTheme="minorHAnsi"/>
          <w:sz w:val="22"/>
        </w:rPr>
      </w:pPr>
      <w:r>
        <w:rPr>
          <w:rFonts w:cs="Times New Roman"/>
        </w:rPr>
        <w:t>50.</w:t>
      </w:r>
      <w:r>
        <w:rPr>
          <w:rFonts w:asciiTheme="minorHAnsi" w:hAnsiTheme="minorHAnsi" w:cs="Times New Roman"/>
          <w:sz w:val="22"/>
        </w:rPr>
        <w:tab/>
      </w:r>
      <w:r>
        <w:t>NOTICES</w:t>
      </w:r>
      <w:r>
        <w:tab/>
        <w:t>83</w:t>
      </w:r>
    </w:p>
    <w:p w:rsidR="00C05B7A" w:rsidRDefault="009760CB">
      <w:pPr>
        <w:pStyle w:val="TOC1"/>
        <w:tabs>
          <w:tab w:val="left" w:pos="720"/>
        </w:tabs>
        <w:rPr>
          <w:rFonts w:asciiTheme="minorHAnsi" w:hAnsiTheme="minorHAnsi"/>
          <w:sz w:val="22"/>
        </w:rPr>
      </w:pPr>
      <w:r>
        <w:rPr>
          <w:rFonts w:cs="Times New Roman"/>
        </w:rPr>
        <w:t>51.</w:t>
      </w:r>
      <w:r>
        <w:rPr>
          <w:rFonts w:asciiTheme="minorHAnsi" w:hAnsiTheme="minorHAnsi" w:cs="Times New Roman"/>
          <w:sz w:val="22"/>
        </w:rPr>
        <w:tab/>
      </w:r>
      <w:r>
        <w:t>THIRD-PARTY CLAIMS</w:t>
      </w:r>
      <w:r>
        <w:tab/>
        <w:t>83</w:t>
      </w:r>
    </w:p>
    <w:p w:rsidR="00C05B7A" w:rsidRDefault="009760CB">
      <w:pPr>
        <w:pStyle w:val="TOC1"/>
        <w:tabs>
          <w:tab w:val="left" w:pos="720"/>
        </w:tabs>
        <w:rPr>
          <w:rFonts w:asciiTheme="minorHAnsi" w:hAnsiTheme="minorHAnsi"/>
          <w:sz w:val="22"/>
        </w:rPr>
      </w:pPr>
      <w:r>
        <w:rPr>
          <w:rFonts w:cs="Times New Roman"/>
        </w:rPr>
        <w:t>52.</w:t>
      </w:r>
      <w:r>
        <w:rPr>
          <w:rFonts w:asciiTheme="minorHAnsi" w:hAnsiTheme="minorHAnsi" w:cs="Times New Roman"/>
          <w:sz w:val="22"/>
        </w:rPr>
        <w:tab/>
      </w:r>
      <w:r>
        <w:t>ASSIGNMENT</w:t>
      </w:r>
      <w:r>
        <w:tab/>
        <w:t>83</w:t>
      </w:r>
    </w:p>
    <w:p w:rsidR="00C05B7A" w:rsidRDefault="009760CB">
      <w:pPr>
        <w:pStyle w:val="TOC1"/>
        <w:tabs>
          <w:tab w:val="left" w:pos="720"/>
        </w:tabs>
        <w:rPr>
          <w:rFonts w:asciiTheme="minorHAnsi" w:hAnsiTheme="minorHAnsi"/>
          <w:sz w:val="22"/>
        </w:rPr>
      </w:pPr>
      <w:r>
        <w:rPr>
          <w:rFonts w:cs="Times New Roman"/>
        </w:rPr>
        <w:t>53.</w:t>
      </w:r>
      <w:r>
        <w:rPr>
          <w:rFonts w:asciiTheme="minorHAnsi" w:hAnsiTheme="minorHAnsi" w:cs="Times New Roman"/>
          <w:sz w:val="22"/>
        </w:rPr>
        <w:tab/>
      </w:r>
      <w:r>
        <w:t>HEADINGS</w:t>
      </w:r>
      <w:r>
        <w:tab/>
        <w:t>83</w:t>
      </w:r>
    </w:p>
    <w:p w:rsidR="00C05B7A" w:rsidRDefault="009760CB">
      <w:pPr>
        <w:pStyle w:val="TOC1"/>
        <w:tabs>
          <w:tab w:val="left" w:pos="720"/>
        </w:tabs>
        <w:rPr>
          <w:rFonts w:asciiTheme="minorHAnsi" w:hAnsiTheme="minorHAnsi"/>
          <w:sz w:val="22"/>
        </w:rPr>
      </w:pPr>
      <w:r>
        <w:rPr>
          <w:rFonts w:cs="Times New Roman"/>
        </w:rPr>
        <w:t>54.</w:t>
      </w:r>
      <w:r>
        <w:rPr>
          <w:rFonts w:asciiTheme="minorHAnsi" w:hAnsiTheme="minorHAnsi" w:cs="Times New Roman"/>
          <w:sz w:val="22"/>
        </w:rPr>
        <w:tab/>
      </w:r>
      <w:r>
        <w:t>INTEGRATION/MODIFICATION</w:t>
      </w:r>
      <w:r>
        <w:tab/>
        <w:t>83</w:t>
      </w:r>
    </w:p>
    <w:p w:rsidR="00C05B7A" w:rsidRDefault="009760CB">
      <w:pPr>
        <w:pStyle w:val="TOC1"/>
        <w:tabs>
          <w:tab w:val="left" w:pos="720"/>
        </w:tabs>
        <w:rPr>
          <w:rFonts w:asciiTheme="minorHAnsi" w:hAnsiTheme="minorHAnsi"/>
          <w:sz w:val="22"/>
        </w:rPr>
      </w:pPr>
      <w:r>
        <w:rPr>
          <w:rFonts w:cs="Times New Roman"/>
        </w:rPr>
        <w:t>55.</w:t>
      </w:r>
      <w:r>
        <w:rPr>
          <w:rFonts w:asciiTheme="minorHAnsi" w:hAnsiTheme="minorHAnsi" w:cs="Times New Roman"/>
          <w:sz w:val="22"/>
        </w:rPr>
        <w:tab/>
      </w:r>
      <w:r>
        <w:t>APPLICABLE LAW/ PROVISIONS REQUIRED BY LAW DEEMED INSERTED</w:t>
      </w:r>
      <w:r>
        <w:tab/>
        <w:t>84</w:t>
      </w:r>
    </w:p>
    <w:p w:rsidR="00C05B7A" w:rsidRDefault="009760CB">
      <w:pPr>
        <w:pStyle w:val="TOC1"/>
        <w:tabs>
          <w:tab w:val="left" w:pos="720"/>
        </w:tabs>
        <w:rPr>
          <w:rFonts w:asciiTheme="minorHAnsi" w:hAnsiTheme="minorHAnsi"/>
          <w:sz w:val="22"/>
        </w:rPr>
      </w:pPr>
      <w:r>
        <w:rPr>
          <w:rFonts w:cs="Times New Roman"/>
        </w:rPr>
        <w:t>56.</w:t>
      </w:r>
      <w:r>
        <w:rPr>
          <w:rFonts w:asciiTheme="minorHAnsi" w:hAnsiTheme="minorHAnsi" w:cs="Times New Roman"/>
          <w:sz w:val="22"/>
        </w:rPr>
        <w:tab/>
      </w:r>
      <w:r>
        <w:t>SUCCESSION OF RIGHTS AND</w:t>
      </w:r>
      <w:r>
        <w:t xml:space="preserve"> OBLIGATIONS</w:t>
      </w:r>
      <w:r>
        <w:tab/>
        <w:t>84</w:t>
      </w:r>
    </w:p>
    <w:p w:rsidR="00C05B7A" w:rsidRDefault="009760CB">
      <w:pPr>
        <w:pStyle w:val="TOC1"/>
        <w:tabs>
          <w:tab w:val="left" w:pos="720"/>
        </w:tabs>
        <w:rPr>
          <w:rFonts w:asciiTheme="minorHAnsi" w:hAnsiTheme="minorHAnsi"/>
          <w:sz w:val="22"/>
        </w:rPr>
      </w:pPr>
      <w:r>
        <w:rPr>
          <w:rFonts w:cs="Times New Roman"/>
        </w:rPr>
        <w:t>57.</w:t>
      </w:r>
      <w:r>
        <w:rPr>
          <w:rFonts w:asciiTheme="minorHAnsi" w:hAnsiTheme="minorHAnsi" w:cs="Times New Roman"/>
          <w:sz w:val="22"/>
        </w:rPr>
        <w:tab/>
      </w:r>
      <w:r w:rsidRPr="00CF7495">
        <w:t>FEDERALLY FUNDED CONTRACT COMPLIANCE.</w:t>
      </w:r>
      <w:r>
        <w:tab/>
        <w:t>84</w:t>
      </w:r>
    </w:p>
    <w:p w:rsidR="00C05B7A" w:rsidRDefault="009760CB">
      <w:pPr>
        <w:pStyle w:val="BodyTextFlush"/>
        <w:spacing w:before="200"/>
        <w:rPr>
          <w:sz w:val="20"/>
          <w:szCs w:val="20"/>
        </w:rPr>
      </w:pPr>
      <w:r>
        <w:rPr>
          <w:sz w:val="20"/>
          <w:szCs w:val="20"/>
        </w:rPr>
        <w:fldChar w:fldCharType="end"/>
      </w:r>
      <w:r>
        <w:rPr>
          <w:sz w:val="20"/>
          <w:szCs w:val="20"/>
        </w:rPr>
        <w:t xml:space="preserve">EXHIBIT “A” Scope of Work / </w:t>
      </w:r>
      <w:r>
        <w:rPr>
          <w:sz w:val="20"/>
          <w:szCs w:val="20"/>
        </w:rPr>
        <w:t>Construction Documents</w:t>
      </w:r>
    </w:p>
    <w:p w:rsidR="00E4078C" w:rsidRDefault="009760CB">
      <w:pPr>
        <w:pStyle w:val="BodyTextFlush"/>
        <w:spacing w:before="0"/>
        <w:rPr>
          <w:sz w:val="20"/>
          <w:szCs w:val="20"/>
        </w:rPr>
      </w:pPr>
      <w:r>
        <w:rPr>
          <w:sz w:val="20"/>
          <w:szCs w:val="20"/>
        </w:rPr>
        <w:t>EXHIBIT “B” Master Budget</w:t>
      </w:r>
    </w:p>
    <w:p w:rsidR="00E4078C" w:rsidRDefault="009760CB">
      <w:pPr>
        <w:pStyle w:val="BodyTextFlush"/>
        <w:spacing w:before="0"/>
        <w:rPr>
          <w:sz w:val="20"/>
          <w:szCs w:val="20"/>
        </w:rPr>
      </w:pPr>
      <w:r>
        <w:rPr>
          <w:sz w:val="20"/>
          <w:szCs w:val="20"/>
        </w:rPr>
        <w:t>EXHIBIT “C” DVBE Requirements</w:t>
      </w:r>
    </w:p>
    <w:p w:rsidR="00E4078C" w:rsidRDefault="009760CB">
      <w:pPr>
        <w:pStyle w:val="BodyTextFlush"/>
        <w:spacing w:before="0"/>
        <w:rPr>
          <w:sz w:val="20"/>
          <w:szCs w:val="20"/>
        </w:rPr>
      </w:pPr>
      <w:r>
        <w:rPr>
          <w:sz w:val="20"/>
          <w:szCs w:val="20"/>
        </w:rPr>
        <w:t>EXHIBIT “D” Payment Bond</w:t>
      </w:r>
    </w:p>
    <w:p w:rsidR="00E4078C" w:rsidRDefault="009760CB">
      <w:pPr>
        <w:pStyle w:val="BodyTextFlush"/>
        <w:spacing w:before="0"/>
        <w:rPr>
          <w:sz w:val="20"/>
          <w:szCs w:val="20"/>
        </w:rPr>
      </w:pPr>
      <w:r>
        <w:rPr>
          <w:sz w:val="20"/>
          <w:szCs w:val="20"/>
        </w:rPr>
        <w:t>EXHIBIT “E” Performance Bond</w:t>
      </w:r>
    </w:p>
    <w:p w:rsidR="00E4078C" w:rsidRDefault="009760CB">
      <w:pPr>
        <w:pStyle w:val="BodyTextFlush"/>
        <w:spacing w:before="0"/>
        <w:rPr>
          <w:sz w:val="20"/>
          <w:szCs w:val="20"/>
        </w:rPr>
      </w:pPr>
      <w:r>
        <w:rPr>
          <w:sz w:val="20"/>
          <w:szCs w:val="20"/>
        </w:rPr>
        <w:t xml:space="preserve">EXHIBIT “F” Contractor </w:t>
      </w:r>
      <w:r>
        <w:rPr>
          <w:sz w:val="20"/>
          <w:szCs w:val="20"/>
        </w:rPr>
        <w:t>Fingerprinting Requirements</w:t>
      </w:r>
    </w:p>
    <w:p w:rsidR="00E4078C" w:rsidRDefault="009760CB">
      <w:pPr>
        <w:pStyle w:val="BodyTextFlush"/>
        <w:spacing w:before="0"/>
        <w:rPr>
          <w:sz w:val="20"/>
          <w:szCs w:val="20"/>
        </w:rPr>
      </w:pPr>
      <w:r>
        <w:rPr>
          <w:sz w:val="20"/>
          <w:szCs w:val="20"/>
        </w:rPr>
        <w:t>EXHIBIT “F” (cont.) Subcontractor Fingerprinting Requirements</w:t>
      </w:r>
    </w:p>
    <w:p w:rsidR="00E4078C" w:rsidRDefault="009760CB">
      <w:pPr>
        <w:pStyle w:val="BodyTextFlush"/>
        <w:spacing w:before="0"/>
        <w:rPr>
          <w:sz w:val="20"/>
          <w:szCs w:val="20"/>
        </w:rPr>
      </w:pPr>
      <w:r>
        <w:rPr>
          <w:sz w:val="20"/>
          <w:szCs w:val="20"/>
        </w:rPr>
        <w:t>EXHIBIT “G” Contractor’s Certificate Regarding Workers’ Compensation</w:t>
      </w:r>
    </w:p>
    <w:p w:rsidR="00E4078C" w:rsidRDefault="009760CB">
      <w:pPr>
        <w:pStyle w:val="BodyTextFlush"/>
        <w:spacing w:before="0"/>
        <w:rPr>
          <w:sz w:val="20"/>
          <w:szCs w:val="20"/>
        </w:rPr>
      </w:pPr>
      <w:r>
        <w:rPr>
          <w:sz w:val="20"/>
          <w:szCs w:val="20"/>
        </w:rPr>
        <w:t>EXHIBIT “H” Drug-Free Workplace Certification</w:t>
      </w:r>
    </w:p>
    <w:p w:rsidR="00E4078C" w:rsidRDefault="009760CB" w:rsidP="001025A6">
      <w:pPr>
        <w:pStyle w:val="BodyTextFlush"/>
        <w:spacing w:before="0"/>
        <w:rPr>
          <w:sz w:val="20"/>
          <w:szCs w:val="20"/>
        </w:rPr>
      </w:pPr>
      <w:r>
        <w:rPr>
          <w:sz w:val="20"/>
          <w:szCs w:val="20"/>
        </w:rPr>
        <w:t>EXHIBIT “I” Conduct Rules for Contractors</w:t>
      </w:r>
    </w:p>
    <w:p w:rsidR="00E4078C" w:rsidRDefault="009760CB">
      <w:pPr>
        <w:pStyle w:val="BodyTextFlush"/>
        <w:spacing w:before="200"/>
        <w:rPr>
          <w:sz w:val="20"/>
          <w:szCs w:val="20"/>
        </w:rPr>
      </w:pPr>
      <w:r>
        <w:rPr>
          <w:sz w:val="20"/>
          <w:szCs w:val="20"/>
        </w:rPr>
        <w:lastRenderedPageBreak/>
        <w:t xml:space="preserve"> </w:t>
      </w:r>
    </w:p>
    <w:p w:rsidR="00E4078C" w:rsidRDefault="009760CB">
      <w:pPr>
        <w:pStyle w:val="BodyTextFlush"/>
        <w:spacing w:before="200"/>
        <w:rPr>
          <w:sz w:val="20"/>
          <w:szCs w:val="20"/>
        </w:rPr>
      </w:pPr>
    </w:p>
    <w:p w:rsidR="00E4078C" w:rsidRDefault="009760CB">
      <w:pPr>
        <w:pStyle w:val="BodyTextFlush"/>
        <w:spacing w:before="200"/>
        <w:rPr>
          <w:sz w:val="20"/>
          <w:szCs w:val="20"/>
        </w:rPr>
        <w:sectPr w:rsidR="00E4078C">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paperSrc w:first="260" w:other="260"/>
          <w:pgNumType w:fmt="lowerRoman" w:start="1"/>
          <w:cols w:space="720"/>
          <w:titlePg/>
          <w:docGrid w:linePitch="360"/>
        </w:sectPr>
      </w:pPr>
    </w:p>
    <w:p w:rsidR="00E4078C" w:rsidRDefault="009760CB">
      <w:pPr>
        <w:pStyle w:val="BodyTextFlush"/>
        <w:spacing w:before="200"/>
        <w:jc w:val="center"/>
        <w:rPr>
          <w:b/>
          <w:sz w:val="20"/>
          <w:szCs w:val="20"/>
        </w:rPr>
      </w:pPr>
      <w:r w:rsidRPr="000B4C2D">
        <w:rPr>
          <w:b/>
          <w:sz w:val="20"/>
          <w:szCs w:val="20"/>
        </w:rPr>
        <w:lastRenderedPageBreak/>
        <w:t>WOODLAND HIGH SCHOOL HVAC REPLACEMENT</w:t>
      </w:r>
      <w:r>
        <w:rPr>
          <w:b/>
          <w:sz w:val="20"/>
          <w:szCs w:val="20"/>
        </w:rPr>
        <w:t xml:space="preserve"> PROJECT</w:t>
      </w:r>
    </w:p>
    <w:p w:rsidR="00E4078C" w:rsidRDefault="009760CB">
      <w:pPr>
        <w:pStyle w:val="BodyTextFlush"/>
        <w:spacing w:before="200"/>
        <w:jc w:val="center"/>
        <w:rPr>
          <w:b/>
          <w:sz w:val="20"/>
          <w:szCs w:val="20"/>
        </w:rPr>
      </w:pPr>
      <w:r>
        <w:rPr>
          <w:b/>
          <w:sz w:val="20"/>
          <w:szCs w:val="20"/>
        </w:rPr>
        <w:t>CONSTRUCTION SERVICES AGREEMENT</w:t>
      </w:r>
    </w:p>
    <w:p w:rsidR="00E4078C" w:rsidRDefault="009760CB">
      <w:pPr>
        <w:pStyle w:val="BodyTextFirstIndent"/>
        <w:spacing w:before="200"/>
        <w:rPr>
          <w:sz w:val="20"/>
          <w:szCs w:val="20"/>
        </w:rPr>
      </w:pPr>
      <w:r>
        <w:rPr>
          <w:sz w:val="20"/>
          <w:szCs w:val="20"/>
        </w:rPr>
        <w:t xml:space="preserve">This Construction Services Agreement is made as of </w:t>
      </w:r>
      <w:r>
        <w:rPr>
          <w:sz w:val="20"/>
          <w:szCs w:val="20"/>
        </w:rPr>
        <w:t>_______________________</w:t>
      </w:r>
      <w:r>
        <w:rPr>
          <w:sz w:val="20"/>
          <w:szCs w:val="20"/>
        </w:rPr>
        <w:t xml:space="preserve">, by and between the </w:t>
      </w:r>
      <w:r>
        <w:rPr>
          <w:sz w:val="20"/>
          <w:szCs w:val="20"/>
        </w:rPr>
        <w:t xml:space="preserve">Woodland Joint Unified </w:t>
      </w:r>
      <w:r>
        <w:rPr>
          <w:sz w:val="20"/>
          <w:szCs w:val="20"/>
        </w:rPr>
        <w:t xml:space="preserve">School District, a California School </w:t>
      </w:r>
      <w:r>
        <w:rPr>
          <w:sz w:val="20"/>
          <w:szCs w:val="20"/>
        </w:rPr>
        <w:t>District organized and existing under the laws of the State of California  (hereinafter called the “District”), and __________________________, a California corporation operating under the laws of the State of _______________ (“Contractor”).</w:t>
      </w:r>
    </w:p>
    <w:p w:rsidR="00E4078C" w:rsidRDefault="009760CB">
      <w:pPr>
        <w:pStyle w:val="BodyTextFirstIndent"/>
        <w:spacing w:before="200"/>
        <w:rPr>
          <w:sz w:val="20"/>
          <w:szCs w:val="20"/>
        </w:rPr>
      </w:pPr>
      <w:r>
        <w:rPr>
          <w:sz w:val="20"/>
          <w:szCs w:val="20"/>
        </w:rPr>
        <w:t>General intent</w:t>
      </w:r>
      <w:r>
        <w:rPr>
          <w:sz w:val="20"/>
          <w:szCs w:val="20"/>
        </w:rPr>
        <w:t xml:space="preserve"> of agreement:  </w:t>
      </w:r>
    </w:p>
    <w:p w:rsidR="00E4078C" w:rsidRDefault="009760CB">
      <w:pPr>
        <w:pStyle w:val="BodyTextFirstIndent"/>
        <w:spacing w:before="200"/>
        <w:rPr>
          <w:sz w:val="20"/>
          <w:szCs w:val="20"/>
        </w:rPr>
      </w:pPr>
      <w:r>
        <w:rPr>
          <w:sz w:val="20"/>
          <w:szCs w:val="20"/>
        </w:rPr>
        <w:t xml:space="preserve">WHEREAS, the District entered into an agreement with </w:t>
      </w:r>
      <w:r w:rsidRPr="008655FB">
        <w:rPr>
          <w:sz w:val="20"/>
          <w:szCs w:val="20"/>
        </w:rPr>
        <w:t>Dervi Castellanos Architects (DCA)</w:t>
      </w:r>
      <w:r>
        <w:rPr>
          <w:sz w:val="20"/>
          <w:szCs w:val="20"/>
        </w:rPr>
        <w:t xml:space="preserve"> </w:t>
      </w:r>
      <w:r>
        <w:rPr>
          <w:sz w:val="20"/>
          <w:szCs w:val="20"/>
        </w:rPr>
        <w:t xml:space="preserve">(the “Architect”) to provide architectural services for the District for the purpose of developing </w:t>
      </w:r>
      <w:r>
        <w:rPr>
          <w:sz w:val="20"/>
          <w:szCs w:val="20"/>
        </w:rPr>
        <w:t>Construction Documents</w:t>
      </w:r>
      <w:r>
        <w:rPr>
          <w:sz w:val="20"/>
          <w:szCs w:val="20"/>
        </w:rPr>
        <w:t xml:space="preserve"> for the construction of</w:t>
      </w:r>
      <w:r>
        <w:rPr>
          <w:sz w:val="20"/>
          <w:szCs w:val="20"/>
        </w:rPr>
        <w:t xml:space="preserve"> </w:t>
      </w:r>
      <w:r>
        <w:rPr>
          <w:sz w:val="20"/>
          <w:szCs w:val="20"/>
        </w:rPr>
        <w:t>impro</w:t>
      </w:r>
      <w:r>
        <w:rPr>
          <w:sz w:val="20"/>
          <w:szCs w:val="20"/>
        </w:rPr>
        <w:t>vements</w:t>
      </w:r>
      <w:r>
        <w:rPr>
          <w:sz w:val="20"/>
          <w:szCs w:val="20"/>
        </w:rPr>
        <w:t xml:space="preserve"> at </w:t>
      </w:r>
      <w:r>
        <w:rPr>
          <w:sz w:val="20"/>
          <w:szCs w:val="20"/>
        </w:rPr>
        <w:t>Woodland High</w:t>
      </w:r>
      <w:r>
        <w:rPr>
          <w:sz w:val="20"/>
          <w:szCs w:val="20"/>
        </w:rPr>
        <w:t xml:space="preserve"> School site (</w:t>
      </w:r>
      <w:r>
        <w:rPr>
          <w:sz w:val="20"/>
          <w:szCs w:val="20"/>
        </w:rPr>
        <w:t>the “Project”).</w:t>
      </w:r>
    </w:p>
    <w:p w:rsidR="00E4078C" w:rsidRDefault="009760CB">
      <w:pPr>
        <w:pStyle w:val="Heading1"/>
      </w:pPr>
      <w:bookmarkStart w:id="0" w:name="_Toc256000000"/>
      <w:bookmarkStart w:id="1" w:name="_Toc472525882"/>
      <w:r>
        <w:t>GENERAL INTENT</w:t>
      </w:r>
      <w:bookmarkEnd w:id="0"/>
      <w:bookmarkEnd w:id="1"/>
    </w:p>
    <w:p w:rsidR="00E4078C" w:rsidRDefault="009760CB">
      <w:pPr>
        <w:pStyle w:val="Heading2"/>
      </w:pPr>
      <w:bookmarkStart w:id="2" w:name="_Ref472587478"/>
      <w:r>
        <w:t>The Board of Education has reviewed the different method</w:t>
      </w:r>
      <w:r>
        <w:t>ologies available to deliver a public w</w:t>
      </w:r>
      <w:r>
        <w:t xml:space="preserve">orks </w:t>
      </w:r>
      <w:r>
        <w:t>p</w:t>
      </w:r>
      <w:r>
        <w:t>roject and has carefully considered the options of competitive bid to a general contra</w:t>
      </w:r>
      <w:r>
        <w:t xml:space="preserve">ctor who would be responsible for the entire </w:t>
      </w:r>
      <w:r>
        <w:t>project</w:t>
      </w:r>
      <w:r>
        <w:t>, a construction management managed multi-prime trade contract project, an at-risk construction management contract, turn-key delivery by another public entity or delivered by another public entity throug</w:t>
      </w:r>
      <w:r>
        <w:t xml:space="preserve">h a joint use </w:t>
      </w:r>
      <w:r>
        <w:t>p</w:t>
      </w:r>
      <w:r>
        <w:t>roject, but have through Board action and independent staff and Board review determined that there are benefits and detriments to each delivery method.</w:t>
      </w:r>
      <w:bookmarkEnd w:id="2"/>
      <w:r>
        <w:t xml:space="preserve"> </w:t>
      </w:r>
    </w:p>
    <w:p w:rsidR="00E4078C" w:rsidRDefault="009760CB">
      <w:pPr>
        <w:pStyle w:val="Heading2"/>
      </w:pPr>
      <w:r>
        <w:t>The Board of E</w:t>
      </w:r>
      <w:r>
        <w:t>ducation has also reviewed the l</w:t>
      </w:r>
      <w:r>
        <w:t>ease-</w:t>
      </w:r>
      <w:r>
        <w:t>l</w:t>
      </w:r>
      <w:r>
        <w:t>easeback methodology under Californi</w:t>
      </w:r>
      <w:r>
        <w:t>a Education Code section 17406 which permits the governing board of a school district</w:t>
      </w:r>
      <w:r>
        <w:t xml:space="preserve"> </w:t>
      </w:r>
      <w:r>
        <w:t>to lease to any person, firm, or corporation any real property owned by the District if the instrument by which such property is leased requires the lessee to construct o</w:t>
      </w:r>
      <w:r>
        <w:t xml:space="preserve">n the leased premises, or provide for the construction thereon, of a building for the use of the school district, during the term of the lease, and provides that title to that building shall vest in the school district prior to or at the expiration of the </w:t>
      </w:r>
      <w:r>
        <w:t>lease.</w:t>
      </w:r>
    </w:p>
    <w:p w:rsidR="009D2D14" w:rsidRDefault="009760CB">
      <w:pPr>
        <w:pStyle w:val="Heading2"/>
      </w:pPr>
      <w:r>
        <w:t>As part of the Board of Education</w:t>
      </w:r>
      <w:r>
        <w:t>’s</w:t>
      </w:r>
      <w:r>
        <w:t xml:space="preserve"> consideration of the possible methods of delivery, the Board has also reviewed available </w:t>
      </w:r>
      <w:r>
        <w:t xml:space="preserve">information from </w:t>
      </w:r>
      <w:r>
        <w:t>the Coalition of Adequate School Housing materials on delivery methods, California School Board Association</w:t>
      </w:r>
      <w:r>
        <w:t xml:space="preserve">, California Association of School Business Officials, Office of Public School Construction Meeting Minutes and SAB Implementation Committee meeting minutes </w:t>
      </w:r>
      <w:r>
        <w:t>and considered</w:t>
      </w:r>
      <w:r>
        <w:t xml:space="preserve"> the benefits and detriments of the </w:t>
      </w:r>
      <w:r>
        <w:t>lease-leaseback</w:t>
      </w:r>
      <w:r>
        <w:t xml:space="preserve"> delivery method.</w:t>
      </w:r>
    </w:p>
    <w:p w:rsidR="009D2D14" w:rsidRDefault="009760CB" w:rsidP="009D2D14">
      <w:pPr>
        <w:pStyle w:val="Heading2"/>
      </w:pPr>
      <w:r>
        <w:t xml:space="preserve">Further, the </w:t>
      </w:r>
      <w:r>
        <w:t>Board of Education understand</w:t>
      </w:r>
      <w:r>
        <w:t>s</w:t>
      </w:r>
      <w:r>
        <w:t xml:space="preserve"> that unique to the l</w:t>
      </w:r>
      <w:r>
        <w:t>ease-</w:t>
      </w:r>
      <w:r>
        <w:t>l</w:t>
      </w:r>
      <w:r>
        <w:t>easeback delivery method, the lease-</w:t>
      </w:r>
      <w:r>
        <w:t>l</w:t>
      </w:r>
      <w:r>
        <w:t xml:space="preserve">easeback Contractor will not only be undertaking the traditional </w:t>
      </w:r>
      <w:r>
        <w:t>d</w:t>
      </w:r>
      <w:r>
        <w:t xml:space="preserve">ue </w:t>
      </w:r>
      <w:r>
        <w:t>d</w:t>
      </w:r>
      <w:r>
        <w:t>iligence of investigating existing Project related information, documents and the Project si</w:t>
      </w:r>
      <w:r>
        <w:t>te, but now included as part of the Contractor’s</w:t>
      </w:r>
      <w:r>
        <w:t xml:space="preserve"> </w:t>
      </w:r>
      <w:r>
        <w:t>“</w:t>
      </w:r>
      <w:r>
        <w:t>Due Diligence</w:t>
      </w:r>
      <w:r>
        <w:t>”</w:t>
      </w:r>
      <w:r>
        <w:t xml:space="preserve"> </w:t>
      </w:r>
      <w:r>
        <w:t xml:space="preserve">(as defined herein) </w:t>
      </w:r>
      <w:r>
        <w:t>as part of this l</w:t>
      </w:r>
      <w:r>
        <w:t>ease-</w:t>
      </w:r>
      <w:r>
        <w:t>l</w:t>
      </w:r>
      <w:r>
        <w:t xml:space="preserve">easeback delivery method, the Contractor will be performing </w:t>
      </w:r>
      <w:r>
        <w:t xml:space="preserve">a review of the </w:t>
      </w:r>
      <w:r>
        <w:t>Construction Documents</w:t>
      </w:r>
      <w:r>
        <w:t xml:space="preserve"> to visualize conflicts that may have not been loc</w:t>
      </w:r>
      <w:r>
        <w:t xml:space="preserve">ated by the Architect as part of the Architect’s constructability review when the </w:t>
      </w:r>
      <w:r>
        <w:t>Construction Documents</w:t>
      </w:r>
      <w:r>
        <w:t xml:space="preserve"> were being prepared.</w:t>
      </w:r>
    </w:p>
    <w:p w:rsidR="00E4078C" w:rsidRDefault="009760CB">
      <w:pPr>
        <w:pStyle w:val="Heading2"/>
      </w:pPr>
      <w:r>
        <w:t>The Board of Education in its consideration of the substantial evidence that is available to the District staff and through the Bo</w:t>
      </w:r>
      <w:r>
        <w:t xml:space="preserve">ard’s own research has determined that this ability to work between the Contractor and the Architect to resolve a greater percentage of construction claims that would ordinarily arise through any of the other delivery methods addressed in Article </w:t>
      </w:r>
      <w:r>
        <w:t>1.1</w:t>
      </w:r>
      <w:r>
        <w:t xml:space="preserve"> above</w:t>
      </w:r>
      <w:r>
        <w:t xml:space="preserve"> </w:t>
      </w:r>
      <w:r>
        <w:t xml:space="preserve">also provides the ability of the Contractor to determine the likely level of errors and omissions, </w:t>
      </w:r>
      <w:r>
        <w:t>and provide</w:t>
      </w:r>
      <w:r>
        <w:t>s</w:t>
      </w:r>
      <w:r>
        <w:t xml:space="preserve"> a Guaranteed Maximum Price for the Project based on the </w:t>
      </w:r>
      <w:r>
        <w:t>Contractor’s Due Diligence</w:t>
      </w:r>
      <w:r>
        <w:t>. The unique ability to determine with certainty the budget n</w:t>
      </w:r>
      <w:r>
        <w:t xml:space="preserve">umbers for the Project </w:t>
      </w:r>
      <w:r>
        <w:lastRenderedPageBreak/>
        <w:t>provides this Board of Education the ability to not only ensure that the District is best serving the community and its school children, but also provides the ability to focus resources towards future and simultaneous projects that c</w:t>
      </w:r>
      <w:r>
        <w:t>ould not be undertaken during any of the other delivery methods since a sizable contingency needs to be set aside for potential claims, litigation, arbitration, mediation, and delays that could jeopardize the ability to plan for occupancy of the building o</w:t>
      </w:r>
      <w:r>
        <w:t xml:space="preserve">r the possibility of having to spend significant resources to procure alternative facilities. </w:t>
      </w:r>
    </w:p>
    <w:p w:rsidR="00E4078C" w:rsidRDefault="009760CB">
      <w:pPr>
        <w:pStyle w:val="Heading2"/>
      </w:pPr>
      <w:r>
        <w:t xml:space="preserve">As part of this </w:t>
      </w:r>
      <w:r>
        <w:t>lease-leaseback</w:t>
      </w:r>
      <w:r>
        <w:t xml:space="preserve"> Construction Services Agreement, a site lease with Contractor (the “Site Lease”), for the Project has been entered</w:t>
      </w:r>
      <w:r>
        <w:t xml:space="preserve"> into</w:t>
      </w:r>
      <w:r>
        <w:t xml:space="preserve"> and attac</w:t>
      </w:r>
      <w:r>
        <w:t>hed as Exhibit</w:t>
      </w:r>
      <w:r>
        <w:t>s</w:t>
      </w:r>
      <w:r>
        <w:t xml:space="preserve"> </w:t>
      </w:r>
      <w:r>
        <w:t>to</w:t>
      </w:r>
      <w:r>
        <w:t xml:space="preserve"> the Site Lease </w:t>
      </w:r>
      <w:r>
        <w:t xml:space="preserve">is a description of the site </w:t>
      </w:r>
      <w:r>
        <w:t xml:space="preserve">(the “Site”) in order for Contractor to construct improvements to this existing school </w:t>
      </w:r>
      <w:r>
        <w:t>S</w:t>
      </w:r>
      <w:r>
        <w:t xml:space="preserve">ite </w:t>
      </w:r>
      <w:r>
        <w:t xml:space="preserve">under the possessory interest of a lease </w:t>
      </w:r>
      <w:r>
        <w:t>with</w:t>
      </w:r>
      <w:r>
        <w:t xml:space="preserve"> a greater degree of control over the overall Project, </w:t>
      </w:r>
      <w:r>
        <w:t>i</w:t>
      </w:r>
      <w:r>
        <w:t xml:space="preserve">ncluding </w:t>
      </w:r>
      <w:r>
        <w:t xml:space="preserve">ability to coordinate </w:t>
      </w:r>
      <w:r>
        <w:t xml:space="preserve">Site </w:t>
      </w:r>
      <w:r>
        <w:t xml:space="preserve">related items such as utilities, </w:t>
      </w:r>
      <w:r>
        <w:t xml:space="preserve">ability to insure both the Project and the Site against a broader range of risks, and </w:t>
      </w:r>
      <w:r>
        <w:t xml:space="preserve">greater primary control and oversight over </w:t>
      </w:r>
      <w:r>
        <w:t>Subcontractor</w:t>
      </w:r>
      <w:r>
        <w:t xml:space="preserve">s and suppliers for the Project as the </w:t>
      </w:r>
      <w:r>
        <w:t>lessee</w:t>
      </w:r>
      <w:r>
        <w:t xml:space="preserve"> </w:t>
      </w:r>
      <w:r>
        <w:t>of the Site.</w:t>
      </w:r>
    </w:p>
    <w:p w:rsidR="00E4078C" w:rsidRDefault="009760CB">
      <w:pPr>
        <w:pStyle w:val="Heading2"/>
      </w:pPr>
      <w:r>
        <w:t xml:space="preserve">In addition, the Contractor </w:t>
      </w:r>
      <w:r>
        <w:t>sub</w:t>
      </w:r>
      <w:r>
        <w:t xml:space="preserve">leases the constructed portions of the Site and the Project back to the District pursuant to a Sublease Agreement (the “Sublease”) under which the District will be required to make </w:t>
      </w:r>
      <w:r>
        <w:t>S</w:t>
      </w:r>
      <w:r>
        <w:t xml:space="preserve">ublease </w:t>
      </w:r>
      <w:r>
        <w:t>P</w:t>
      </w:r>
      <w:r>
        <w:t xml:space="preserve">ayments </w:t>
      </w:r>
      <w:r>
        <w:t>as described</w:t>
      </w:r>
      <w:r>
        <w:t xml:space="preserve"> therein</w:t>
      </w:r>
      <w:r>
        <w:t>; and</w:t>
      </w:r>
    </w:p>
    <w:p w:rsidR="00E4078C" w:rsidRPr="00EA6423" w:rsidRDefault="009760CB">
      <w:pPr>
        <w:pStyle w:val="Heading2"/>
      </w:pPr>
      <w:r w:rsidRPr="00EA6423">
        <w:t xml:space="preserve">It is agreed that upon the expiration of the </w:t>
      </w:r>
      <w:r>
        <w:t xml:space="preserve">Site </w:t>
      </w:r>
      <w:r w:rsidRPr="00EA6423">
        <w:t>Lease and Sublease, title to the Project shall vest in the District; and</w:t>
      </w:r>
    </w:p>
    <w:p w:rsidR="00E4078C" w:rsidRDefault="009760CB">
      <w:pPr>
        <w:pStyle w:val="Heading2"/>
      </w:pPr>
      <w:r>
        <w:t xml:space="preserve">Contractor represents that Contractor is uniquely </w:t>
      </w:r>
      <w:r>
        <w:t>experienced in Construction of p</w:t>
      </w:r>
      <w:r>
        <w:t xml:space="preserve">ublic </w:t>
      </w:r>
      <w:r>
        <w:t>s</w:t>
      </w:r>
      <w:r>
        <w:t xml:space="preserve">chools </w:t>
      </w:r>
      <w:r>
        <w:t xml:space="preserve">and </w:t>
      </w:r>
      <w:r>
        <w:t>c</w:t>
      </w:r>
      <w:r>
        <w:t xml:space="preserve">ommunity </w:t>
      </w:r>
      <w:r>
        <w:t>c</w:t>
      </w:r>
      <w:r>
        <w:t>olleges</w:t>
      </w:r>
      <w:r>
        <w:t xml:space="preserve"> </w:t>
      </w:r>
      <w:r>
        <w:t>including</w:t>
      </w:r>
      <w:r>
        <w:t>,</w:t>
      </w:r>
      <w:r>
        <w:t xml:space="preserve"> but not limited to</w:t>
      </w:r>
      <w:r>
        <w:t>,</w:t>
      </w:r>
      <w:r>
        <w:t xml:space="preserve"> the specific requirements and regulations of the Field Act as administered by the Division of State Architect, working with the Division of State Architect, Office of Public School Construction, California Department of Educa</w:t>
      </w:r>
      <w:r>
        <w:t>tion and work with the various applicable other State and local agencies that have jurisdiction over the Project,  is duly licensed as a contractor in the State of California, and is prepared to analyze, synthesize and efficiently perform construction work</w:t>
      </w:r>
      <w:r>
        <w:t xml:space="preserve"> for the District as more fully set forth in this Agreement</w:t>
      </w:r>
    </w:p>
    <w:p w:rsidR="00E4078C" w:rsidRDefault="009760CB">
      <w:pPr>
        <w:pStyle w:val="Heading2"/>
      </w:pPr>
      <w:r>
        <w:t xml:space="preserve">Contractor has thoroughly </w:t>
      </w:r>
      <w:r>
        <w:t xml:space="preserve">performed </w:t>
      </w:r>
      <w:r>
        <w:t xml:space="preserve">Due </w:t>
      </w:r>
      <w:r>
        <w:t>D</w:t>
      </w:r>
      <w:r>
        <w:t xml:space="preserve">iligence </w:t>
      </w:r>
      <w:r>
        <w:t>as defined in Article</w:t>
      </w:r>
      <w:r>
        <w:t xml:space="preserve">s </w:t>
      </w:r>
      <w:r>
        <w:t>4</w:t>
      </w:r>
      <w:r>
        <w:t xml:space="preserve"> and</w:t>
      </w:r>
      <w:r>
        <w:t xml:space="preserve"> </w:t>
      </w:r>
      <w:r>
        <w:t>5</w:t>
      </w:r>
      <w:r>
        <w:t xml:space="preserve"> </w:t>
      </w:r>
      <w:r>
        <w:t xml:space="preserve">to establish a Guaranteed Maximum Price for the Project </w:t>
      </w:r>
      <w:r>
        <w:t xml:space="preserve">(which may include an Errors and Omissions </w:t>
      </w:r>
      <w:r>
        <w:t>Contingency</w:t>
      </w:r>
      <w:r>
        <w:t xml:space="preserve"> </w:t>
      </w:r>
      <w:r>
        <w:t xml:space="preserve">and </w:t>
      </w:r>
      <w:r>
        <w:t>a</w:t>
      </w:r>
      <w:r>
        <w:t xml:space="preserve"> </w:t>
      </w:r>
      <w:r>
        <w:t xml:space="preserve">Construction </w:t>
      </w:r>
      <w:r>
        <w:t>Contingency</w:t>
      </w:r>
      <w:r>
        <w:t xml:space="preserve"> for Contractor’s own errors and omissions)  that will not be exceeded.</w:t>
      </w:r>
      <w:r>
        <w:t xml:space="preserve"> Contractor has investigated the site conditions and reviewed the Construction Documents to establish that there are no known problems with respect to the site</w:t>
      </w:r>
      <w:r>
        <w:t xml:space="preserve"> conditions or the Construction Documents and that Contractor can and will construct the Project for the Guaranteed Maximum P</w:t>
      </w:r>
      <w:r>
        <w:t xml:space="preserve">rice as set forth in Article </w:t>
      </w:r>
      <w:r>
        <w:t>3</w:t>
      </w:r>
      <w:r>
        <w:t xml:space="preserve"> and defined in Article </w:t>
      </w:r>
      <w:r>
        <w:t>5</w:t>
      </w:r>
      <w:r>
        <w:t xml:space="preserve"> of this Construction Services Agreement, and Contractor will not seek any a</w:t>
      </w:r>
      <w:r>
        <w:t>dditional compensation whatsoever, including, without limitation, any requests based upon known site conditions, extensions on the Lease beyond the Lease period or any requests, except for such additional compensation provided for herein based upon unfores</w:t>
      </w:r>
      <w:r>
        <w:t xml:space="preserve">een conditions and/or errors or omissions contained within the </w:t>
      </w:r>
      <w:r>
        <w:t xml:space="preserve">plans and specification </w:t>
      </w:r>
      <w:r>
        <w:t>or Construction Documents.</w:t>
      </w:r>
    </w:p>
    <w:p w:rsidR="00E4078C" w:rsidRDefault="009760CB">
      <w:pPr>
        <w:pStyle w:val="Heading2"/>
      </w:pPr>
      <w:r>
        <w:t xml:space="preserve">Since the Contractor has entered into a </w:t>
      </w:r>
      <w:r>
        <w:t xml:space="preserve">negotiated </w:t>
      </w:r>
      <w:r>
        <w:t xml:space="preserve">Lease and is performing this Construction Services Agreement </w:t>
      </w:r>
      <w:r>
        <w:t xml:space="preserve">as the Lessee of the </w:t>
      </w:r>
      <w:r>
        <w:t>Premises,</w:t>
      </w:r>
      <w:r>
        <w:t xml:space="preserve"> Contractor understands and agrees that: </w:t>
      </w:r>
    </w:p>
    <w:p w:rsidR="00E4078C" w:rsidRDefault="009760CB">
      <w:pPr>
        <w:pStyle w:val="Heading3"/>
      </w:pPr>
      <w:r>
        <w:t>Publi</w:t>
      </w:r>
      <w:r>
        <w:t xml:space="preserve">c Contract Code </w:t>
      </w:r>
      <w:r>
        <w:t>section</w:t>
      </w:r>
      <w:r>
        <w:t xml:space="preserve"> 4100 et</w:t>
      </w:r>
      <w:r>
        <w:t xml:space="preserve"> seq</w:t>
      </w:r>
      <w:r>
        <w:t>.</w:t>
      </w:r>
      <w:r>
        <w:t xml:space="preserve"> addressing subcontractor listing shall not apply</w:t>
      </w:r>
      <w:r>
        <w:t xml:space="preserve"> except to the extent applicable under Education Code section 17406(a)(4)</w:t>
      </w:r>
      <w:r>
        <w:t xml:space="preserve">.  However, the District is requiring an open book accounting and the public selection of </w:t>
      </w:r>
      <w:r>
        <w:t>Subcontractor</w:t>
      </w:r>
      <w:r>
        <w:t xml:space="preserve">s pursuant to Article </w:t>
      </w:r>
      <w:r>
        <w:t>6.3</w:t>
      </w:r>
      <w:r>
        <w:t xml:space="preserve"> of this Agreement.  </w:t>
      </w:r>
    </w:p>
    <w:p w:rsidR="00E4078C" w:rsidRDefault="009760CB" w:rsidP="00D6215C">
      <w:pPr>
        <w:pStyle w:val="Heading3"/>
      </w:pPr>
      <w:r w:rsidRPr="00D6215C">
        <w:t xml:space="preserve">Public Contract Code </w:t>
      </w:r>
      <w:r>
        <w:t>s</w:t>
      </w:r>
      <w:r w:rsidRPr="00D6215C">
        <w:t>ection 20111 addressing competitive bidding do</w:t>
      </w:r>
      <w:r>
        <w:t>es</w:t>
      </w:r>
      <w:r w:rsidRPr="00D6215C">
        <w:t xml:space="preserve"> not apply to the Project pursuant t</w:t>
      </w:r>
      <w:r w:rsidRPr="00D6215C">
        <w:t>o the specific language of Education Code section 17406 which provides for a competitive procurement process through request for sealed proposals from qualified proposers</w:t>
      </w:r>
      <w:r>
        <w:t>.</w:t>
      </w:r>
    </w:p>
    <w:p w:rsidR="00E4078C" w:rsidRDefault="009760CB" w:rsidP="005B14A0">
      <w:pPr>
        <w:pStyle w:val="Heading3"/>
      </w:pPr>
      <w:r>
        <w:lastRenderedPageBreak/>
        <w:t xml:space="preserve">Public Contract Code </w:t>
      </w:r>
      <w:r>
        <w:t>section</w:t>
      </w:r>
      <w:r>
        <w:t xml:space="preserve"> 3400 addressing proprietary specifications does not app</w:t>
      </w:r>
      <w:r>
        <w:t xml:space="preserve">ly since the Contractor has </w:t>
      </w:r>
      <w:r>
        <w:t xml:space="preserve">entered into a negotiated Lease pursuant to which is obligated </w:t>
      </w:r>
      <w:r>
        <w:t xml:space="preserve">to build </w:t>
      </w:r>
      <w:r>
        <w:t xml:space="preserve">the </w:t>
      </w:r>
      <w:r>
        <w:t xml:space="preserve">Project.  </w:t>
      </w:r>
      <w:r>
        <w:t>The Contractor agrees and acknowledges that it has had great opportunity throughout the Due Diligence process and negotiation of the Lease and</w:t>
      </w:r>
      <w:r>
        <w:t xml:space="preserve"> related agreements to propose any changes or substitutions, and warranties that it shall propose no further changes or substitutions pursuant to Public Contract Code </w:t>
      </w:r>
      <w:r>
        <w:t>section</w:t>
      </w:r>
      <w:r>
        <w:t xml:space="preserve"> 3400. </w:t>
      </w:r>
      <w:r>
        <w:t>Substitutions and Value Engineering are allowed to address cost savings and</w:t>
      </w:r>
      <w:r>
        <w:t xml:space="preserve"> to more efficiently build the Project at Articles </w:t>
      </w:r>
      <w:r>
        <w:t>5.3</w:t>
      </w:r>
      <w:r>
        <w:t xml:space="preserve"> and </w:t>
      </w:r>
      <w:r>
        <w:t>16</w:t>
      </w:r>
      <w:r>
        <w:t>.</w:t>
      </w:r>
    </w:p>
    <w:p w:rsidR="003179D6" w:rsidRDefault="009760CB" w:rsidP="003179D6">
      <w:pPr>
        <w:pStyle w:val="Heading3"/>
      </w:pPr>
      <w:r>
        <w:t>The requirements in Public Contract Code section 22300 shall not apply.</w:t>
      </w:r>
    </w:p>
    <w:p w:rsidR="003C0AC2" w:rsidRPr="003C0AC2" w:rsidRDefault="009760CB" w:rsidP="001F27B9">
      <w:pPr>
        <w:pStyle w:val="Heading2"/>
      </w:pPr>
      <w:bookmarkStart w:id="3" w:name="_Ref472589207"/>
      <w:r>
        <w:t xml:space="preserve">Prequalification of Contractor and MEP Subcontractors. </w:t>
      </w:r>
      <w:r>
        <w:t xml:space="preserve"> </w:t>
      </w:r>
      <w:r>
        <w:t>In accordance with California Public Contract Code section 20111.</w:t>
      </w:r>
      <w:r>
        <w:t>6, the Contractor</w:t>
      </w:r>
      <w:r>
        <w:t xml:space="preserve"> is</w:t>
      </w:r>
      <w:r>
        <w:t xml:space="preserve"> required to submit to the District a completed set of prequalification documents on forms provided by the District and be deemed prequalified by the District </w:t>
      </w:r>
      <w:r>
        <w:t>prior to entering into the</w:t>
      </w:r>
      <w:r>
        <w:t xml:space="preserve"> Contract</w:t>
      </w:r>
      <w:r>
        <w:t xml:space="preserve"> for the Project</w:t>
      </w:r>
      <w:r>
        <w:t>.</w:t>
      </w:r>
      <w:r>
        <w:t xml:space="preserve">  In addition, all mechan</w:t>
      </w:r>
      <w:r>
        <w:t>ical, electrical or plumbing (“MEP”) Subcontractors of any tier (contractors that hold C-4, C-7, C-10, C-16, C-20, C-34, C-36, C-38,  C-42, C-43 or C-46 licenses), must also be prequalified.  It is the responsibility of the bidder to ensure that all MEP Su</w:t>
      </w:r>
      <w:r>
        <w:t xml:space="preserve">bcontractors </w:t>
      </w:r>
      <w:r w:rsidRPr="001F27B9">
        <w:rPr>
          <w:u w:val="single"/>
        </w:rPr>
        <w:t>holding</w:t>
      </w:r>
      <w:r>
        <w:t xml:space="preserve"> any of the licenses listed above are properly prequalified.</w:t>
      </w:r>
      <w:r>
        <w:t xml:space="preserve">  </w:t>
      </w:r>
      <w:r w:rsidRPr="001F27B9">
        <w:t xml:space="preserve">This prequalification requirement </w:t>
      </w:r>
      <w:r>
        <w:t xml:space="preserve">for MEP Subcontractors </w:t>
      </w:r>
      <w:r w:rsidRPr="001F27B9">
        <w:t>applies even if the subcontractor will perform, or is designated to perform, work that does not require one of the li</w:t>
      </w:r>
      <w:r w:rsidRPr="001F27B9">
        <w:t xml:space="preserve">censes listed above, but the subcontractor </w:t>
      </w:r>
      <w:r w:rsidRPr="001F27B9">
        <w:rPr>
          <w:u w:val="single"/>
        </w:rPr>
        <w:t>holds</w:t>
      </w:r>
      <w:r w:rsidRPr="001F27B9">
        <w:t xml:space="preserve"> one of the licenses listed above</w:t>
      </w:r>
      <w:r>
        <w:t>.</w:t>
      </w:r>
      <w:bookmarkEnd w:id="3"/>
    </w:p>
    <w:p w:rsidR="00E4078C" w:rsidRDefault="009760CB">
      <w:pPr>
        <w:pStyle w:val="Heading1"/>
      </w:pPr>
      <w:bookmarkStart w:id="4" w:name="_Toc256000001"/>
      <w:bookmarkStart w:id="5" w:name="_Toc472525883"/>
      <w:r>
        <w:t>TITLE 24 RESPONSIBILITIES – GENERAL INTENT OF THE CSA</w:t>
      </w:r>
      <w:bookmarkEnd w:id="4"/>
      <w:bookmarkEnd w:id="5"/>
    </w:p>
    <w:p w:rsidR="00E4078C" w:rsidRDefault="009760CB">
      <w:pPr>
        <w:pStyle w:val="BodyTextFlush"/>
        <w:spacing w:before="200"/>
        <w:rPr>
          <w:sz w:val="20"/>
          <w:szCs w:val="20"/>
        </w:rPr>
      </w:pPr>
      <w:r>
        <w:rPr>
          <w:sz w:val="20"/>
          <w:szCs w:val="20"/>
        </w:rPr>
        <w:t>Contractor accepts the contractual relationship established between it and District by this Construction Services Agree</w:t>
      </w:r>
      <w:r>
        <w:rPr>
          <w:sz w:val="20"/>
          <w:szCs w:val="20"/>
        </w:rPr>
        <w:t>ment, and Contractor covenants with District to furnish reasonable skill and judgment in constructing the Project as set forth in the Construction Docum</w:t>
      </w:r>
      <w:r>
        <w:rPr>
          <w:sz w:val="20"/>
          <w:szCs w:val="20"/>
        </w:rPr>
        <w:t>ents, as defined in Article 4</w:t>
      </w:r>
      <w:r>
        <w:rPr>
          <w:sz w:val="20"/>
          <w:szCs w:val="20"/>
        </w:rPr>
        <w:t xml:space="preserve"> for the Project which are described and/or set forth herein as Exhibit “A.</w:t>
      </w:r>
      <w:r>
        <w:rPr>
          <w:sz w:val="20"/>
          <w:szCs w:val="20"/>
        </w:rPr>
        <w:t xml:space="preserve">”  Contractor agrees to furnish efficient business administration, coordination review of the </w:t>
      </w:r>
      <w:r>
        <w:rPr>
          <w:sz w:val="20"/>
          <w:szCs w:val="20"/>
        </w:rPr>
        <w:t>Construction Documents</w:t>
      </w:r>
      <w:r>
        <w:rPr>
          <w:sz w:val="20"/>
          <w:szCs w:val="20"/>
        </w:rPr>
        <w:t xml:space="preserve">, coordination of the work of the </w:t>
      </w:r>
      <w:r>
        <w:rPr>
          <w:sz w:val="20"/>
          <w:szCs w:val="20"/>
        </w:rPr>
        <w:t>Subcontractor</w:t>
      </w:r>
      <w:r>
        <w:rPr>
          <w:sz w:val="20"/>
          <w:szCs w:val="20"/>
        </w:rPr>
        <w:t>s and vendors and superintendence to furnish at all times an adequate supply of professionals</w:t>
      </w:r>
      <w:r>
        <w:rPr>
          <w:sz w:val="20"/>
          <w:szCs w:val="20"/>
        </w:rPr>
        <w:t xml:space="preserve">, workers, and materials and to perform the work appropriately, expeditiously, economically, and consistent with the Construction Services Agreement and Construction Documents as defined in Article </w:t>
      </w:r>
      <w:r>
        <w:rPr>
          <w:sz w:val="20"/>
          <w:szCs w:val="20"/>
        </w:rPr>
        <w:t>14</w:t>
      </w:r>
      <w:r>
        <w:rPr>
          <w:sz w:val="20"/>
          <w:szCs w:val="20"/>
        </w:rPr>
        <w:t>, below.</w:t>
      </w:r>
    </w:p>
    <w:p w:rsidR="00E4078C" w:rsidRDefault="009760CB">
      <w:pPr>
        <w:pStyle w:val="Heading2"/>
      </w:pPr>
      <w:r>
        <w:rPr>
          <w:u w:val="single"/>
        </w:rPr>
        <w:t>Title 24 Responsibilities</w:t>
      </w:r>
      <w:r>
        <w:t xml:space="preserve">.  The Contractor </w:t>
      </w:r>
      <w:r>
        <w:t>shall continually supervise and direct the Work using the Contractor’s best skill and attention. The Contractor shall be solely responsible for and have control over construction means, methods, techniques, sequences, procedures; and shall coordinate all p</w:t>
      </w:r>
      <w:r>
        <w:t>ortions of the Work in conformance with the Contract Documents.  Specific duties of the Contractor shall include those set out in Section 43 of Title 21 of the California Code of Regulations and Section 4-343 of Title 24 of the California Code of Regulatio</w:t>
      </w:r>
      <w:r>
        <w:t>ns.  These duties include, but are not limited to the following:</w:t>
      </w:r>
    </w:p>
    <w:p w:rsidR="00E4078C" w:rsidRDefault="009760CB">
      <w:pPr>
        <w:pStyle w:val="Heading3"/>
      </w:pPr>
      <w:r>
        <w:rPr>
          <w:i/>
        </w:rPr>
        <w:t>Responsibilities</w:t>
      </w:r>
      <w:r>
        <w:t xml:space="preserve">.  It is the duty of the Contractor to complete the Work covered by his or her Contract in accordance with the approved </w:t>
      </w:r>
      <w:r>
        <w:t>Construction Documents</w:t>
      </w:r>
      <w:r>
        <w:t>.  The Contractor in no way is re</w:t>
      </w:r>
      <w:r>
        <w:t>lieved of any responsibility by the activities of the Architect, Engineer, Inspector or DSA in the performance of their duties.</w:t>
      </w:r>
    </w:p>
    <w:p w:rsidR="00E4078C" w:rsidRDefault="009760CB">
      <w:pPr>
        <w:pStyle w:val="Heading3"/>
      </w:pPr>
      <w:r>
        <w:rPr>
          <w:i/>
        </w:rPr>
        <w:t>Performance of the Work</w:t>
      </w:r>
      <w:r>
        <w:t xml:space="preserve">.  The Contractor shall carefully study the approved </w:t>
      </w:r>
      <w:r>
        <w:t>Construction Documents</w:t>
      </w:r>
      <w:r>
        <w:t xml:space="preserve"> and shall plan its schedule o</w:t>
      </w:r>
      <w:r>
        <w:t xml:space="preserve">f operations well ahead of time.  If at any time it is discovered that work is being done which is not in accordance with the approved </w:t>
      </w:r>
      <w:r>
        <w:t>Construction Documents</w:t>
      </w:r>
      <w:r>
        <w:t>, the Contractor shall correct the Work immediately.</w:t>
      </w:r>
    </w:p>
    <w:p w:rsidR="00E4078C" w:rsidRDefault="009760CB">
      <w:pPr>
        <w:pStyle w:val="Heading3"/>
      </w:pPr>
      <w:r>
        <w:rPr>
          <w:i/>
        </w:rPr>
        <w:t>Inconsistencies</w:t>
      </w:r>
      <w:r>
        <w:t>.  All inconsistencies or timin</w:t>
      </w:r>
      <w:r>
        <w:t xml:space="preserve">g or sequences which appear to be in error in the </w:t>
      </w:r>
      <w:r>
        <w:t>Construction Documents</w:t>
      </w:r>
      <w:r>
        <w:t xml:space="preserve"> shall promptly be called to the attention of the Architect or, Engineer, for interpretation or correction.  Local conditions which may </w:t>
      </w:r>
      <w:r>
        <w:lastRenderedPageBreak/>
        <w:t>affect the structure shall be brought to the Arc</w:t>
      </w:r>
      <w:r>
        <w:t xml:space="preserve">hitect’s attention at once.  In no case, shall the instruction of the Architect be construed to cause work to be done which is not in conformity with the approved plans, specifications, change orders, </w:t>
      </w:r>
      <w:r>
        <w:t>construction change document</w:t>
      </w:r>
      <w:r>
        <w:t xml:space="preserve">s, and as required by law. </w:t>
      </w:r>
      <w:r>
        <w:t xml:space="preserve"> (See Title 24 Section 4-343)</w:t>
      </w:r>
    </w:p>
    <w:p w:rsidR="00E4078C" w:rsidRDefault="009760CB">
      <w:pPr>
        <w:pStyle w:val="Heading3"/>
      </w:pPr>
      <w:r>
        <w:rPr>
          <w:i/>
        </w:rPr>
        <w:t>Verified Reports</w:t>
      </w:r>
      <w:r>
        <w:t>.  The Contractor shall make and submit to the office from time to time, verified reports as required in Title 24 Section 4-366.  As part of the Close-Out of t</w:t>
      </w:r>
      <w:r>
        <w:t xml:space="preserve">he Project (see Article </w:t>
      </w:r>
      <w:r>
        <w:t>13.16</w:t>
      </w:r>
      <w:r>
        <w:t>), Contractor shall be</w:t>
      </w:r>
      <w:r>
        <w:t xml:space="preserve"> required to execute a Form 6-C as required under Title 24 Sections 4-343.</w:t>
      </w:r>
    </w:p>
    <w:p w:rsidR="00E4078C" w:rsidRDefault="009760CB">
      <w:pPr>
        <w:pStyle w:val="Heading3"/>
      </w:pPr>
      <w:r>
        <w:rPr>
          <w:i/>
        </w:rPr>
        <w:t>Reporting Requirements</w:t>
      </w:r>
      <w:r>
        <w:t xml:space="preserve">.  Contractor shall fully comply with any and all reporting requirements of Education Code </w:t>
      </w:r>
      <w:r>
        <w:t>section</w:t>
      </w:r>
      <w:r>
        <w:t>s 17315, et seq., in the manner prescribed by Title 24, as ap</w:t>
      </w:r>
      <w:r>
        <w:t>plicable.</w:t>
      </w:r>
    </w:p>
    <w:p w:rsidR="00E4078C" w:rsidRDefault="009760CB">
      <w:pPr>
        <w:pStyle w:val="Heading3"/>
      </w:pPr>
      <w:r>
        <w:rPr>
          <w:i/>
        </w:rPr>
        <w:t>Contractor Responsibility</w:t>
      </w:r>
      <w:r>
        <w:t>.  The Contractor shall be responsible to the District for acts and omissions of the Contractor’s employees, Subcontractors, material and equipment suppliers, and their agents, employees, invitees, and other persons perfo</w:t>
      </w:r>
      <w:r>
        <w:t>rming portions of the Work under direct or indirect contract with the Contractor or any of its Subcontractors.</w:t>
      </w:r>
    </w:p>
    <w:p w:rsidR="00E4078C" w:rsidRDefault="009760CB">
      <w:pPr>
        <w:pStyle w:val="Heading3"/>
      </w:pPr>
      <w:r>
        <w:rPr>
          <w:i/>
        </w:rPr>
        <w:t>All Work is performed Under the Direction of Inspector</w:t>
      </w:r>
      <w:r>
        <w:t>. Pursuant to Title 24 requirements, the Contractor shall not carry on Work except with the</w:t>
      </w:r>
      <w:r>
        <w:t xml:space="preserve"> knowledge of the Inspector.  (See Title 24 generally)</w:t>
      </w:r>
    </w:p>
    <w:p w:rsidR="00E4078C" w:rsidRDefault="009760CB">
      <w:pPr>
        <w:pStyle w:val="Heading3"/>
      </w:pPr>
      <w:r>
        <w:rPr>
          <w:i/>
        </w:rPr>
        <w:t>Contractor to Establish Timing and Protocol with Inspector</w:t>
      </w:r>
      <w:r>
        <w:t>.  Contractor shall establish a protocol for requesting inspection with Inspector so as to not delay the Work and provide adequate time for the</w:t>
      </w:r>
      <w:r>
        <w:t xml:space="preserve"> Inspector to perform inspection.  If such a protocol is not established ahead of time, Inspector may utilize the time criteria set by Title 24 of 48 hours in advance of submitting form DSA 156 for each new area.  DSA requirements under PR 13-01 specifical</w:t>
      </w:r>
      <w:r>
        <w:t>ly gives the Special Inspector fourteen (14) days to post to the DSA website.  Contractor is responsible for delays and for failure to plan.</w:t>
      </w:r>
    </w:p>
    <w:p w:rsidR="00E4078C" w:rsidRDefault="009760CB">
      <w:pPr>
        <w:pStyle w:val="Heading3"/>
      </w:pPr>
      <w:r>
        <w:rPr>
          <w:i/>
        </w:rPr>
        <w:t>Conformance with Approved Submittals.</w:t>
      </w:r>
      <w:r>
        <w:t xml:space="preserve">  This conformance includes performing all Work only in conformance with appro</w:t>
      </w:r>
      <w:r>
        <w:t>ved Submittals, Shop Drawings, and Samples or the Inspector may be required to issue a DSA Form 154 Notice of Deviation from approved DSA Contract Documents.</w:t>
      </w:r>
    </w:p>
    <w:p w:rsidR="00E4078C" w:rsidRDefault="009760CB">
      <w:pPr>
        <w:pStyle w:val="Heading3"/>
      </w:pPr>
      <w:r>
        <w:rPr>
          <w:i/>
        </w:rPr>
        <w:t>Incremental Assemblies</w:t>
      </w:r>
      <w:r>
        <w:t>.  For some Projects, there may be a need to incrementally install certain a</w:t>
      </w:r>
      <w:r>
        <w:t>ssemblies.  It is up to Contractor to identify areas and assemblies that may be constructed incrementally.  Contractor must identify and establish incremental areas of construction and establish protocols with Inspector for DSA 152 approvals so they may be</w:t>
      </w:r>
      <w:r>
        <w:t xml:space="preserve"> presented to DSA.  See PR-13 item 2.1.10 for further discussion.</w:t>
      </w:r>
    </w:p>
    <w:p w:rsidR="00E4078C" w:rsidRDefault="009760CB">
      <w:pPr>
        <w:pStyle w:val="Heading3"/>
      </w:pPr>
      <w:r>
        <w:rPr>
          <w:i/>
        </w:rPr>
        <w:t>Coordination with Outside Contractors</w:t>
      </w:r>
      <w:r>
        <w:t>. If any of the Work for the Project is known to include Work performed by contractors retained directly by the District, Contractor shall be responsible</w:t>
      </w:r>
      <w:r>
        <w:t xml:space="preserve"> for the coordination and sequencing of the Work of those other contractors so as to avoid any impact on the Project Schedule.</w:t>
      </w:r>
    </w:p>
    <w:p w:rsidR="00E4078C" w:rsidRDefault="009760CB">
      <w:pPr>
        <w:pStyle w:val="Heading1"/>
      </w:pPr>
      <w:bookmarkStart w:id="6" w:name="_Toc256000002"/>
      <w:bookmarkStart w:id="7" w:name="_Toc472525884"/>
      <w:bookmarkStart w:id="8" w:name="_Ref472587561"/>
      <w:bookmarkStart w:id="9" w:name="_Ref472588604"/>
      <w:bookmarkStart w:id="10" w:name="_Ref472596971"/>
      <w:r>
        <w:t>CONTRACT INFORMATION</w:t>
      </w:r>
      <w:bookmarkEnd w:id="6"/>
      <w:bookmarkEnd w:id="7"/>
      <w:bookmarkEnd w:id="8"/>
      <w:bookmarkEnd w:id="9"/>
      <w:bookmarkEnd w:id="10"/>
    </w:p>
    <w:p w:rsidR="00611E03" w:rsidRDefault="009760CB" w:rsidP="007A2867">
      <w:pPr>
        <w:pStyle w:val="Heading2"/>
        <w:numPr>
          <w:ilvl w:val="0"/>
          <w:numId w:val="0"/>
        </w:numPr>
        <w:ind w:left="1440"/>
      </w:pPr>
      <w:r w:rsidRPr="00E13A19">
        <w:rPr>
          <w:u w:val="single"/>
        </w:rPr>
        <w:t>District</w:t>
      </w:r>
      <w:r>
        <w:t>:</w:t>
      </w:r>
      <w:r>
        <w:tab/>
      </w:r>
      <w:r>
        <w:tab/>
        <w:t>Woodland Joint Unified School District</w:t>
      </w:r>
      <w:r>
        <w:br/>
      </w:r>
      <w:r>
        <w:tab/>
      </w:r>
      <w:r>
        <w:tab/>
        <w:t>435 Sixth Street</w:t>
      </w:r>
    </w:p>
    <w:p w:rsidR="00611E03" w:rsidRDefault="009760CB" w:rsidP="007A2867">
      <w:pPr>
        <w:pStyle w:val="Heading2"/>
        <w:numPr>
          <w:ilvl w:val="0"/>
          <w:numId w:val="0"/>
        </w:numPr>
        <w:spacing w:before="0"/>
        <w:ind w:left="2160" w:firstLine="720"/>
      </w:pPr>
      <w:r>
        <w:t>Woodland, CA  95695</w:t>
      </w:r>
    </w:p>
    <w:p w:rsidR="00E4078C" w:rsidRDefault="009760CB" w:rsidP="007A2867">
      <w:pPr>
        <w:pStyle w:val="Heading2"/>
        <w:numPr>
          <w:ilvl w:val="0"/>
          <w:numId w:val="0"/>
        </w:numPr>
        <w:spacing w:before="0"/>
        <w:ind w:left="2160" w:firstLine="720"/>
      </w:pPr>
      <w:r>
        <w:t xml:space="preserve">Attn: Lewis Wiley, </w:t>
      </w:r>
      <w:r>
        <w:t>Associate Superintendent, Business Services</w:t>
      </w:r>
      <w:r>
        <w:br/>
      </w:r>
      <w:r>
        <w:tab/>
        <w:t>530-406-3220</w:t>
      </w:r>
    </w:p>
    <w:p w:rsidR="00E4078C" w:rsidRDefault="009760CB">
      <w:pPr>
        <w:pStyle w:val="Heading2"/>
      </w:pPr>
      <w:r>
        <w:rPr>
          <w:u w:val="single"/>
        </w:rPr>
        <w:lastRenderedPageBreak/>
        <w:t>Notices</w:t>
      </w:r>
      <w:r>
        <w:t>:</w:t>
      </w:r>
      <w:r>
        <w:tab/>
      </w:r>
      <w:r>
        <w:tab/>
      </w:r>
      <w:r>
        <w:t>Lewis Wiley, Associate Superintendent, Business Services</w:t>
      </w:r>
      <w:r>
        <w:br/>
      </w:r>
      <w:r>
        <w:tab/>
      </w:r>
      <w:r>
        <w:tab/>
      </w:r>
      <w:r>
        <w:t>Lewis.Wiley@wjusd.org</w:t>
      </w:r>
    </w:p>
    <w:p w:rsidR="00E4078C" w:rsidRDefault="009760CB">
      <w:pPr>
        <w:pStyle w:val="Heading2"/>
      </w:pPr>
      <w:r>
        <w:rPr>
          <w:u w:val="single"/>
        </w:rPr>
        <w:t>Contractor</w:t>
      </w:r>
      <w:r>
        <w:t>:</w:t>
      </w:r>
      <w:r>
        <w:tab/>
        <w:t>____________[Name]_____________________________</w:t>
      </w:r>
    </w:p>
    <w:p w:rsidR="00E4078C" w:rsidRDefault="009760CB">
      <w:pPr>
        <w:pStyle w:val="BodyTextFlush"/>
        <w:spacing w:before="200"/>
        <w:ind w:left="1440"/>
        <w:rPr>
          <w:sz w:val="20"/>
          <w:szCs w:val="20"/>
        </w:rPr>
      </w:pPr>
      <w:r>
        <w:rPr>
          <w:sz w:val="20"/>
          <w:szCs w:val="20"/>
        </w:rPr>
        <w:tab/>
      </w:r>
      <w:r>
        <w:rPr>
          <w:sz w:val="20"/>
          <w:szCs w:val="20"/>
        </w:rPr>
        <w:tab/>
        <w:t>___________[Address]_________________________</w:t>
      </w:r>
      <w:r>
        <w:rPr>
          <w:sz w:val="20"/>
          <w:szCs w:val="20"/>
        </w:rPr>
        <w:t>___</w:t>
      </w:r>
    </w:p>
    <w:p w:rsidR="00E4078C" w:rsidRDefault="009760CB">
      <w:pPr>
        <w:pStyle w:val="BodyTextFlush"/>
        <w:spacing w:before="200"/>
        <w:ind w:left="1440"/>
        <w:rPr>
          <w:sz w:val="20"/>
          <w:szCs w:val="20"/>
        </w:rPr>
      </w:pPr>
      <w:r>
        <w:rPr>
          <w:sz w:val="20"/>
          <w:szCs w:val="20"/>
        </w:rPr>
        <w:tab/>
      </w:r>
      <w:r>
        <w:rPr>
          <w:sz w:val="20"/>
          <w:szCs w:val="20"/>
        </w:rPr>
        <w:tab/>
        <w:t>___________[City]________________________________</w:t>
      </w:r>
    </w:p>
    <w:p w:rsidR="00E4078C" w:rsidRDefault="009760CB">
      <w:pPr>
        <w:pStyle w:val="BodyTextFlush"/>
        <w:spacing w:before="200"/>
        <w:ind w:left="1440"/>
        <w:rPr>
          <w:sz w:val="20"/>
          <w:szCs w:val="20"/>
        </w:rPr>
      </w:pPr>
      <w:r>
        <w:rPr>
          <w:sz w:val="20"/>
          <w:szCs w:val="20"/>
        </w:rPr>
        <w:tab/>
      </w:r>
      <w:r>
        <w:rPr>
          <w:sz w:val="20"/>
          <w:szCs w:val="20"/>
        </w:rPr>
        <w:tab/>
        <w:t>___________[Telephone]__________________________</w:t>
      </w:r>
    </w:p>
    <w:p w:rsidR="00E4078C" w:rsidRDefault="009760CB">
      <w:pPr>
        <w:pStyle w:val="Heading2"/>
      </w:pPr>
      <w:r>
        <w:rPr>
          <w:u w:val="single"/>
        </w:rPr>
        <w:t>Notices</w:t>
      </w:r>
      <w:r>
        <w:t>:</w:t>
      </w:r>
      <w:r>
        <w:tab/>
      </w:r>
      <w:r>
        <w:tab/>
        <w:t>________________________________________________</w:t>
      </w:r>
    </w:p>
    <w:p w:rsidR="00E4078C" w:rsidRDefault="009760CB">
      <w:pPr>
        <w:pStyle w:val="BodyTextFlush"/>
        <w:spacing w:before="200"/>
        <w:rPr>
          <w:sz w:val="20"/>
          <w:szCs w:val="20"/>
        </w:rPr>
      </w:pPr>
      <w:r>
        <w:rPr>
          <w:sz w:val="20"/>
          <w:szCs w:val="20"/>
        </w:rPr>
        <w:tab/>
      </w:r>
      <w:r>
        <w:rPr>
          <w:sz w:val="20"/>
          <w:szCs w:val="20"/>
        </w:rPr>
        <w:tab/>
      </w:r>
      <w:r>
        <w:rPr>
          <w:sz w:val="20"/>
          <w:szCs w:val="20"/>
        </w:rPr>
        <w:tab/>
      </w:r>
      <w:r>
        <w:rPr>
          <w:sz w:val="20"/>
          <w:szCs w:val="20"/>
        </w:rPr>
        <w:tab/>
        <w:t>___________[e-mail]______________________________</w:t>
      </w:r>
    </w:p>
    <w:p w:rsidR="00E4078C" w:rsidRDefault="009760CB" w:rsidP="00F622E9">
      <w:pPr>
        <w:pStyle w:val="Heading2"/>
        <w:numPr>
          <w:ilvl w:val="0"/>
          <w:numId w:val="0"/>
        </w:numPr>
        <w:ind w:left="1440"/>
      </w:pPr>
      <w:r>
        <w:t xml:space="preserve">The following are established </w:t>
      </w:r>
      <w:r>
        <w:t>through Contractor’s review of the Program, Contract Documents and through Contractor’s Due Diligence prior to entering into this Agreement:</w:t>
      </w:r>
    </w:p>
    <w:p w:rsidR="00E4078C" w:rsidRDefault="009760CB">
      <w:pPr>
        <w:pStyle w:val="Heading2"/>
      </w:pPr>
      <w:r>
        <w:t>Contract Time</w:t>
      </w:r>
      <w:r>
        <w:t xml:space="preserve"> is _________________________________ Days.</w:t>
      </w:r>
    </w:p>
    <w:p w:rsidR="00E4078C" w:rsidRDefault="009760CB">
      <w:pPr>
        <w:pStyle w:val="Heading2"/>
      </w:pPr>
      <w:r>
        <w:t xml:space="preserve">Liquidated Damages for overstaying Lease (Art. 18) is </w:t>
      </w:r>
      <w:r>
        <w:t>$</w:t>
      </w:r>
      <w:r>
        <w:t>___</w:t>
      </w:r>
      <w:r>
        <w:t xml:space="preserve">___________________________ per </w:t>
      </w:r>
      <w:r>
        <w:t xml:space="preserve">calendar </w:t>
      </w:r>
      <w:r>
        <w:t>day.</w:t>
      </w:r>
    </w:p>
    <w:p w:rsidR="00E4078C" w:rsidRDefault="009760CB">
      <w:pPr>
        <w:pStyle w:val="Heading2"/>
      </w:pPr>
      <w:r>
        <w:t xml:space="preserve">Guaranteed Maximum Price (Art. 5) is </w:t>
      </w:r>
      <w:r>
        <w:t>$</w:t>
      </w:r>
      <w:r>
        <w:t>______________________________</w:t>
      </w:r>
      <w:r>
        <w:t>.</w:t>
      </w:r>
    </w:p>
    <w:p w:rsidR="00B94A9A" w:rsidRPr="00B94A9A" w:rsidRDefault="009760CB" w:rsidP="004D2582">
      <w:pPr>
        <w:pStyle w:val="Heading3"/>
      </w:pPr>
      <w:r w:rsidRPr="00B94A9A">
        <w:t>Construction Contingency (within GMP) is $</w:t>
      </w:r>
      <w:r>
        <w:t>_______________.</w:t>
      </w:r>
    </w:p>
    <w:p w:rsidR="00B94A9A" w:rsidRPr="00B94A9A" w:rsidRDefault="009760CB" w:rsidP="00B94A9A">
      <w:pPr>
        <w:pStyle w:val="Heading3"/>
      </w:pPr>
      <w:bookmarkStart w:id="11" w:name="_Ref472588658"/>
      <w:r w:rsidRPr="00B94A9A">
        <w:t>Errors and Omissions Contingency (within GMP) is $</w:t>
      </w:r>
      <w:r>
        <w:t>_______________</w:t>
      </w:r>
      <w:r w:rsidRPr="00B94A9A">
        <w:t>.</w:t>
      </w:r>
      <w:bookmarkEnd w:id="11"/>
      <w:r w:rsidRPr="00B94A9A">
        <w:tab/>
      </w:r>
    </w:p>
    <w:p w:rsidR="00E4078C" w:rsidRDefault="009760CB" w:rsidP="00F622E9">
      <w:pPr>
        <w:pStyle w:val="Heading2"/>
      </w:pPr>
      <w:r>
        <w:t>The only exce</w:t>
      </w:r>
      <w:r>
        <w:t>ption to the GMP is Unforeseen Underground Conditions, and District Contingency for Owner requested extras as follows:</w:t>
      </w:r>
    </w:p>
    <w:p w:rsidR="00E4078C" w:rsidRDefault="009760CB" w:rsidP="00F622E9">
      <w:pPr>
        <w:pStyle w:val="Heading3"/>
      </w:pPr>
      <w:bookmarkStart w:id="12" w:name="_Ref472588643"/>
      <w:r>
        <w:t xml:space="preserve">District’s Contingency (Art. 8) is </w:t>
      </w:r>
      <w:r>
        <w:t>$</w:t>
      </w:r>
      <w:r>
        <w:t>________________</w:t>
      </w:r>
      <w:r>
        <w:t>_______________________</w:t>
      </w:r>
      <w:r>
        <w:t>.  District Contingency is carried outside of the GMP.</w:t>
      </w:r>
      <w:bookmarkEnd w:id="12"/>
    </w:p>
    <w:p w:rsidR="00F622E9" w:rsidRDefault="009760CB" w:rsidP="00F622E9">
      <w:pPr>
        <w:pStyle w:val="Heading3"/>
      </w:pPr>
      <w:r>
        <w:t>Unfores</w:t>
      </w:r>
      <w:r>
        <w:t>een</w:t>
      </w:r>
      <w:r w:rsidRPr="00F622E9">
        <w:t xml:space="preserve"> Allowance is</w:t>
      </w:r>
      <w:r>
        <w:t xml:space="preserve"> </w:t>
      </w:r>
      <w:r>
        <w:t>$</w:t>
      </w:r>
      <w:r>
        <w:t>________________________________________</w:t>
      </w:r>
      <w:r w:rsidRPr="00F622E9">
        <w:t xml:space="preserve">.  </w:t>
      </w:r>
      <w:r>
        <w:t>Unforeseen</w:t>
      </w:r>
      <w:r w:rsidRPr="00F622E9">
        <w:t xml:space="preserve"> Allowance is carried outside of the GMP.</w:t>
      </w:r>
    </w:p>
    <w:p w:rsidR="00F622E9" w:rsidRDefault="009760CB" w:rsidP="00F622E9">
      <w:pPr>
        <w:pStyle w:val="Heading2"/>
      </w:pPr>
      <w:r w:rsidRPr="00F622E9">
        <w:t xml:space="preserve">The Contractor’s fee for this Project is _____ percent </w:t>
      </w:r>
      <w:r>
        <w:t>(__%) and is included in the GMP.</w:t>
      </w:r>
    </w:p>
    <w:p w:rsidR="00E4078C" w:rsidRDefault="009760CB">
      <w:pPr>
        <w:pStyle w:val="Heading1"/>
      </w:pPr>
      <w:bookmarkStart w:id="13" w:name="_Toc256000003"/>
      <w:bookmarkStart w:id="14" w:name="_Toc472525885"/>
      <w:bookmarkStart w:id="15" w:name="_Ref472587519"/>
      <w:r>
        <w:t>DEFINITIONS</w:t>
      </w:r>
      <w:bookmarkEnd w:id="13"/>
      <w:bookmarkEnd w:id="14"/>
      <w:bookmarkEnd w:id="15"/>
    </w:p>
    <w:p w:rsidR="00E4078C" w:rsidRDefault="009760CB">
      <w:pPr>
        <w:pStyle w:val="Heading2"/>
      </w:pPr>
      <w:r>
        <w:rPr>
          <w:u w:val="single"/>
        </w:rPr>
        <w:t>Action of the Governing Board</w:t>
      </w:r>
      <w:r>
        <w:t xml:space="preserve"> is a vote of a majority of the District’s Governing Board.</w:t>
      </w:r>
    </w:p>
    <w:p w:rsidR="00E4078C" w:rsidRPr="00A6725F" w:rsidRDefault="009760CB">
      <w:pPr>
        <w:pStyle w:val="Heading2"/>
      </w:pPr>
      <w:r w:rsidRPr="00A6725F">
        <w:rPr>
          <w:u w:val="single"/>
        </w:rPr>
        <w:t>Allowances</w:t>
      </w:r>
      <w:r w:rsidRPr="00B842AC">
        <w:t xml:space="preserve"> </w:t>
      </w:r>
      <w:r>
        <w:t xml:space="preserve">are separate from the Unforeseen Allowance and </w:t>
      </w:r>
      <w:r>
        <w:t>mean</w:t>
      </w:r>
      <w:r w:rsidRPr="00A6725F">
        <w:t xml:space="preserve"> budgets established for specific scopes of the Work which cannot be </w:t>
      </w:r>
      <w:r w:rsidRPr="00A6725F">
        <w:t xml:space="preserve">fully defined in the Construction Documents </w:t>
      </w:r>
      <w:r w:rsidRPr="00A6725F">
        <w:t xml:space="preserve">at the time that the </w:t>
      </w:r>
      <w:r w:rsidRPr="00A6725F">
        <w:t xml:space="preserve">GMP is established. </w:t>
      </w:r>
      <w:r w:rsidRPr="00A6725F">
        <w:t xml:space="preserve">Allowances may only be drawn upon pursuant to a Change Order issued pursuant to Article </w:t>
      </w:r>
      <w:r>
        <w:t>17</w:t>
      </w:r>
      <w:r w:rsidRPr="00A6725F">
        <w:t xml:space="preserve">.  </w:t>
      </w:r>
      <w:r w:rsidRPr="00A6725F">
        <w:t>In the event that an Allowance is included, the Contractor shall provide all services, work, labor and materials reasonably implicit in the description of the Allowance for the amount stated for the Allowance, all in accordance with the Construction Docume</w:t>
      </w:r>
      <w:r w:rsidRPr="00A6725F">
        <w:t>nts.  Contractor acknowledges and agrees that it has had ample time and consideration to fully assess any Allowance(s) and to negotiate the description and amount of the Allowance(s), such that Contractor fully accepts and shall bear the entire risk and re</w:t>
      </w:r>
      <w:r w:rsidRPr="00A6725F">
        <w:t xml:space="preserve">sponsibility of providing all services, work, labor and materials required for the Allowance(s) under this Agreement. </w:t>
      </w:r>
      <w:r w:rsidRPr="00A6725F">
        <w:t xml:space="preserve">Expenditures from the GMP will either arise from Construction Contingency or </w:t>
      </w:r>
      <w:r w:rsidRPr="00A6725F">
        <w:t>Errors and Omissions Contingency</w:t>
      </w:r>
      <w:r w:rsidRPr="00A6725F">
        <w:t xml:space="preserve"> and shall be submitted pursu</w:t>
      </w:r>
      <w:r w:rsidRPr="00A6725F">
        <w:t xml:space="preserve">ant to Article </w:t>
      </w:r>
      <w:r>
        <w:t>17</w:t>
      </w:r>
      <w:r w:rsidRPr="00A6725F">
        <w:t xml:space="preserve"> addressing Change Orders. </w:t>
      </w:r>
      <w:r w:rsidRPr="00A6725F">
        <w:lastRenderedPageBreak/>
        <w:t>The amount of the Change Order shall reflect the difference between actual costs approved by the District and the allowance amounts established in the GMP.</w:t>
      </w:r>
    </w:p>
    <w:p w:rsidR="00E4078C" w:rsidRDefault="009760CB">
      <w:pPr>
        <w:pStyle w:val="Heading2"/>
      </w:pPr>
      <w:r>
        <w:rPr>
          <w:u w:val="single"/>
        </w:rPr>
        <w:t>As-Builts</w:t>
      </w:r>
      <w:r>
        <w:t xml:space="preserve"> are a set of </w:t>
      </w:r>
      <w:r>
        <w:t>Construction Documents</w:t>
      </w:r>
      <w:r>
        <w:t xml:space="preserve"> maintained</w:t>
      </w:r>
      <w:r>
        <w:t xml:space="preserve"> by the Contractor clearly showing all changes, revisions, substitutions, field changes, final locations, and other significant features of the Project.  The As-Builts shall be maintained continuously throughout the Work for the Project and is both a prere</w:t>
      </w:r>
      <w:r>
        <w:t xml:space="preserve">quisite to the issuance of Pay Application and a requirement for Contract Close-Out.  See Article </w:t>
      </w:r>
      <w:r>
        <w:t>13.14</w:t>
      </w:r>
      <w:r>
        <w:t>.</w:t>
      </w:r>
    </w:p>
    <w:p w:rsidR="00E4078C" w:rsidRDefault="009760CB">
      <w:pPr>
        <w:pStyle w:val="Heading2"/>
      </w:pPr>
      <w:r>
        <w:rPr>
          <w:u w:val="single"/>
        </w:rPr>
        <w:t>Architect</w:t>
      </w:r>
      <w:r>
        <w:t xml:space="preserve"> means the architect, engineer, or other design professional engaged by the District to design and perform general observation of the work of </w:t>
      </w:r>
      <w:r>
        <w:t>construction and interpret the drawings and specifications for t</w:t>
      </w:r>
      <w:r>
        <w:t>he Project.</w:t>
      </w:r>
    </w:p>
    <w:p w:rsidR="00E4078C" w:rsidRDefault="009760CB">
      <w:pPr>
        <w:pStyle w:val="Heading2"/>
      </w:pPr>
      <w:r>
        <w:rPr>
          <w:u w:val="single"/>
        </w:rPr>
        <w:t>Beneficial Occupancy</w:t>
      </w:r>
      <w:r>
        <w:t xml:space="preserve"> is the point in time when a building or buildings are fit for occupancy is fit for occupancy and its intended use  Basic requirements are the building is safe,</w:t>
      </w:r>
      <w:r>
        <w:t xml:space="preserve"> at or near Substantial Completion, and all life safety is operational.  The fact that a building is occupied does not mean that the building is ready for Beneficial Occupancy if there are elements that are unsafe or if life safety items are not operationa</w:t>
      </w:r>
      <w:r>
        <w:t xml:space="preserve">l.  Taking occupancy on a structure that is under </w:t>
      </w:r>
      <w:r>
        <w:t>a fire watch is not considered B</w:t>
      </w:r>
      <w:r>
        <w:t xml:space="preserve">eneficial </w:t>
      </w:r>
      <w:r>
        <w:t>O</w:t>
      </w:r>
      <w:r>
        <w:t>ccupancy.</w:t>
      </w:r>
      <w:r>
        <w:t xml:space="preserve">  </w:t>
      </w:r>
      <w:r>
        <w:t>Beneficial Occupancy is not be used by the Contractor as a basis to request Retention Payment unless the entire Project is Substantially Complete in acc</w:t>
      </w:r>
      <w:r>
        <w:t xml:space="preserve">ordance with Article </w:t>
      </w:r>
      <w:r>
        <w:t>4.45</w:t>
      </w:r>
      <w:r>
        <w:t>.</w:t>
      </w:r>
    </w:p>
    <w:p w:rsidR="00E4078C" w:rsidRDefault="009760CB">
      <w:pPr>
        <w:pStyle w:val="Heading2"/>
      </w:pPr>
      <w:r>
        <w:rPr>
          <w:u w:val="single"/>
        </w:rPr>
        <w:t>Claims</w:t>
      </w:r>
      <w:r>
        <w:t>.  A Claim is a request for payment, supported by back-up documentation which includes, invoices time sheets, or other documents substantiating legitimacy or entitlement that is submitted during the Project or immediately f</w:t>
      </w:r>
      <w:r>
        <w:t xml:space="preserve">ollowing the Project made prior to </w:t>
      </w:r>
      <w:r>
        <w:t xml:space="preserve">the Application for Retention Payment and prior to </w:t>
      </w:r>
      <w:r>
        <w:t>Final Completion of the Project.  A “Claim” means a separate demand by the Contractor for (1) time extension, (2) payment of money or damages arising from Work done by or</w:t>
      </w:r>
      <w:r>
        <w:t xml:space="preserve"> on behalf of the Con</w:t>
      </w:r>
      <w:r>
        <w:t>tractor pursuant to the Contract</w:t>
      </w:r>
      <w:r>
        <w:t xml:space="preserve"> and payment of which is not otherwise expressly provided for or the claimant is not otherwise entitled to, or (3) and amount the payment of which is disputed by the District.  See Article </w:t>
      </w:r>
      <w:r>
        <w:t>20</w:t>
      </w:r>
      <w:r>
        <w:t>.</w:t>
      </w:r>
    </w:p>
    <w:p w:rsidR="00D242C9" w:rsidRDefault="009760CB">
      <w:pPr>
        <w:pStyle w:val="Heading2"/>
      </w:pPr>
      <w:r>
        <w:rPr>
          <w:u w:val="single"/>
        </w:rPr>
        <w:t>Close-Out</w:t>
      </w:r>
      <w:r>
        <w:t xml:space="preserve"> </w:t>
      </w:r>
      <w:r>
        <w:t xml:space="preserve">means the process for Final Completion of the Project, but also includes the requirements for the DSA Certification that the Project is Complete (See DSA Certification Guide).  See Article </w:t>
      </w:r>
      <w:r>
        <w:t>13.16</w:t>
      </w:r>
      <w:r>
        <w:t>.</w:t>
      </w:r>
    </w:p>
    <w:p w:rsidR="00E4078C" w:rsidRDefault="009760CB" w:rsidP="00D242C9">
      <w:pPr>
        <w:pStyle w:val="Heading2"/>
      </w:pPr>
      <w:r w:rsidRPr="00A9581E">
        <w:rPr>
          <w:u w:val="single"/>
        </w:rPr>
        <w:t>Commencement Date</w:t>
      </w:r>
      <w:r w:rsidRPr="00D242C9">
        <w:t xml:space="preserve"> shall mean the Project commencement date f</w:t>
      </w:r>
      <w:r w:rsidRPr="00D242C9">
        <w:t>ound in the Notice to Proceed for the Project</w:t>
      </w:r>
      <w:r>
        <w:t xml:space="preserve"> in accordance with Article </w:t>
      </w:r>
      <w:r>
        <w:t>4.28</w:t>
      </w:r>
      <w:r w:rsidRPr="00D242C9">
        <w:t xml:space="preserve"> of </w:t>
      </w:r>
      <w:r>
        <w:t>this Construction Services Agreement</w:t>
      </w:r>
      <w:r>
        <w:t>.</w:t>
      </w:r>
    </w:p>
    <w:p w:rsidR="00E4078C" w:rsidRDefault="009760CB" w:rsidP="005E0437">
      <w:pPr>
        <w:pStyle w:val="Heading2"/>
      </w:pPr>
      <w:r>
        <w:rPr>
          <w:u w:val="single"/>
        </w:rPr>
        <w:t>Complete</w:t>
      </w:r>
      <w:r>
        <w:rPr>
          <w:u w:val="single"/>
        </w:rPr>
        <w:t>/ Final Completion</w:t>
      </w:r>
      <w:r w:rsidRPr="008A28E1">
        <w:t xml:space="preserve"> </w:t>
      </w:r>
      <w:r w:rsidRPr="005E0437">
        <w:t>means that all Work in the Contract Documents is finished, the requirements of the Contract Documents have bee</w:t>
      </w:r>
      <w:r w:rsidRPr="005E0437">
        <w:t>n met, successful testing, startup and satisfactory operation of the Project as a total unit has been accomplished in substantial conformance with the Contract Documents, the Project is completed, all Work has ceased on the Project and the Project has been</w:t>
      </w:r>
      <w:r w:rsidRPr="005E0437">
        <w:t xml:space="preserve"> accepted by the District’s Board.  This may also be referred to as Final Completion.  In most cases, the recording of a Notice of Completion shall represent Completion of the Project.  Beneficial Occupancy or Substantial Completion does not mean the Work </w:t>
      </w:r>
      <w:r w:rsidRPr="005E0437">
        <w:t>is Complete</w:t>
      </w:r>
      <w:r>
        <w:t>.</w:t>
      </w:r>
    </w:p>
    <w:p w:rsidR="00E4078C" w:rsidRDefault="009760CB">
      <w:pPr>
        <w:pStyle w:val="Heading2"/>
      </w:pPr>
      <w:r>
        <w:rPr>
          <w:u w:val="single"/>
        </w:rPr>
        <w:t>Completion Date</w:t>
      </w:r>
      <w:r>
        <w:t xml:space="preserve"> is the date when all Work for the Project shall be Substantially Complete and is the date assigned at the end of the Contract Time for </w:t>
      </w:r>
      <w:r>
        <w:t>the Project.</w:t>
      </w:r>
    </w:p>
    <w:p w:rsidR="00E4078C" w:rsidRDefault="009760CB">
      <w:pPr>
        <w:pStyle w:val="Heading2"/>
      </w:pPr>
      <w:r>
        <w:rPr>
          <w:u w:val="single"/>
        </w:rPr>
        <w:t>Construction Change D</w:t>
      </w:r>
      <w:r>
        <w:rPr>
          <w:u w:val="single"/>
        </w:rPr>
        <w:t>ocument</w:t>
      </w:r>
      <w:r>
        <w:rPr>
          <w:u w:val="single"/>
        </w:rPr>
        <w:t xml:space="preserve"> (CCD).</w:t>
      </w:r>
      <w:r>
        <w:t xml:space="preserve">  A Construction Change Document</w:t>
      </w:r>
      <w:r>
        <w:t xml:space="preserve"> is a DSA term that is utilized to address changes to the DSA approved </w:t>
      </w:r>
      <w:r>
        <w:t>Construction Documents</w:t>
      </w:r>
      <w:r>
        <w:t>.  There are two types of Construction Change D</w:t>
      </w:r>
      <w:r>
        <w:t>ocument</w:t>
      </w:r>
      <w:r>
        <w:t xml:space="preserve">s.  (1) DSA approved CCD Category A (DSA Form 140) for work affecting Structural, Access or Fire-Life Safety </w:t>
      </w:r>
      <w:r>
        <w:t xml:space="preserve">of the Project which will require a DSA approval; and, </w:t>
      </w:r>
      <w:r>
        <w:t>(2) CCD Category B (DSA Form 140</w:t>
      </w:r>
      <w:r>
        <w:t>) for work NOT affecting Structural Safety, Access Compliance or Fire and Life Safety that will not require a DSA approval (except to confirm that no Approval is require</w:t>
      </w:r>
      <w:r>
        <w:t xml:space="preserve">d).  See Article </w:t>
      </w:r>
      <w:r>
        <w:t>17.4</w:t>
      </w:r>
      <w:r>
        <w:t>.</w:t>
      </w:r>
    </w:p>
    <w:p w:rsidR="00E4078C" w:rsidRDefault="009760CB">
      <w:pPr>
        <w:pStyle w:val="Heading2"/>
      </w:pPr>
      <w:r>
        <w:rPr>
          <w:u w:val="single"/>
        </w:rPr>
        <w:lastRenderedPageBreak/>
        <w:t>Construction Services Agreement (CSA)</w:t>
      </w:r>
      <w:r>
        <w:t xml:space="preserve"> means this Construction Services Agreement, together with any duly authorized and executed amendments hereto.</w:t>
      </w:r>
    </w:p>
    <w:p w:rsidR="00E4078C" w:rsidRDefault="009760CB">
      <w:pPr>
        <w:pStyle w:val="Heading2"/>
      </w:pPr>
      <w:r>
        <w:rPr>
          <w:u w:val="single"/>
        </w:rPr>
        <w:t>Construction or Construction Services</w:t>
      </w:r>
      <w:r>
        <w:t xml:space="preserve"> means all labor and services necessary for the </w:t>
      </w:r>
      <w:r>
        <w:t>construction of the Project, and all materials, equipment, tools, supplies and incidentals incorporated or to be incorporated in such construction as fully described in the Contract Documents.</w:t>
      </w:r>
    </w:p>
    <w:p w:rsidR="00E4078C" w:rsidRDefault="009760CB">
      <w:pPr>
        <w:pStyle w:val="Heading2"/>
      </w:pPr>
      <w:r>
        <w:rPr>
          <w:u w:val="single"/>
        </w:rPr>
        <w:t>Construction Costs</w:t>
      </w:r>
      <w:r>
        <w:t xml:space="preserve"> means any and all costs incurred by the Cont</w:t>
      </w:r>
      <w:r>
        <w:t xml:space="preserve">ractor with respect to the construction and equipping, as the case may be, of the </w:t>
      </w:r>
      <w:r>
        <w:t>improvements performed</w:t>
      </w:r>
      <w:r>
        <w:t>, whether paid or incurred prior to or after the date hereof, including, without limitation, costs for Site preparation, the removal or demolition of ex</w:t>
      </w:r>
      <w:r>
        <w:t>isting structures, the construction of the Project and related facilities and improvements, and all other work in connection therewith, security of the Site and Project, Contractors’ o</w:t>
      </w:r>
      <w:r>
        <w:t>verhead and supervision at the P</w:t>
      </w:r>
      <w:r>
        <w:t xml:space="preserve">roject </w:t>
      </w:r>
      <w:r>
        <w:t>S</w:t>
      </w:r>
      <w:r>
        <w:t>ite, all costs and expenses incl</w:t>
      </w:r>
      <w:r>
        <w:t>uding any taxes or insurance premiums paid by the Contractor with respect to the Property, and administrative and other expenses necessary or incident to the Project, excluding Contractors’ and Developers’ home office overhead and profit.  The term “Constr</w:t>
      </w:r>
      <w:r>
        <w:t xml:space="preserve">uction Costs” includes all Contractor’s costs associated with preparing or generating additional copies of any Construction Documents, as defined below, related to or required for the Project, including preparation or generation of additional </w:t>
      </w:r>
      <w:r>
        <w:t xml:space="preserve">Plans and/or </w:t>
      </w:r>
      <w:r>
        <w:t>Specifications</w:t>
      </w:r>
      <w:r>
        <w:t xml:space="preserve"> for Contractor’s </w:t>
      </w:r>
      <w:r>
        <w:t>Subcontractor</w:t>
      </w:r>
      <w:r>
        <w:t>s.  In no event shall Construction Costs exceed the Guaranteed Maximum Price.</w:t>
      </w:r>
    </w:p>
    <w:p w:rsidR="00E4078C" w:rsidRPr="00A6725F" w:rsidRDefault="009760CB">
      <w:pPr>
        <w:pStyle w:val="Heading2"/>
      </w:pPr>
      <w:r w:rsidRPr="00974BCC">
        <w:rPr>
          <w:u w:val="single"/>
        </w:rPr>
        <w:t>Co</w:t>
      </w:r>
      <w:r w:rsidRPr="00D242C9">
        <w:rPr>
          <w:u w:val="single"/>
        </w:rPr>
        <w:t>nstruction Documents</w:t>
      </w:r>
      <w:r w:rsidRPr="00494A6F">
        <w:t xml:space="preserve"> </w:t>
      </w:r>
      <w:r>
        <w:t xml:space="preserve">comprise the </w:t>
      </w:r>
      <w:r>
        <w:t xml:space="preserve">Plans and Specifications approved by DSA under </w:t>
      </w:r>
      <w:r w:rsidRPr="00CE145A">
        <w:t xml:space="preserve">Application Number </w:t>
      </w:r>
      <w:r w:rsidRPr="00CE145A">
        <w:t>02-120598</w:t>
      </w:r>
      <w:r w:rsidRPr="00CE145A">
        <w:t xml:space="preserve">, File Number </w:t>
      </w:r>
      <w:r w:rsidRPr="00CE145A">
        <w:t>57-H7</w:t>
      </w:r>
      <w:r>
        <w:t>,</w:t>
      </w:r>
      <w:r w:rsidRPr="00A6725F">
        <w:t xml:space="preserve"> </w:t>
      </w:r>
      <w:r>
        <w:t>A</w:t>
      </w:r>
      <w:r>
        <w:t>llowances</w:t>
      </w:r>
      <w:r>
        <w:t xml:space="preserve"> stipulated in the Contract Documents</w:t>
      </w:r>
      <w:r>
        <w:t xml:space="preserve">, </w:t>
      </w:r>
      <w:r>
        <w:t xml:space="preserve">and all </w:t>
      </w:r>
      <w:r w:rsidRPr="00A6725F">
        <w:t>Addenda</w:t>
      </w:r>
      <w:r>
        <w:t>, if any,</w:t>
      </w:r>
      <w:r w:rsidRPr="00A6725F">
        <w:t xml:space="preserve"> issued prior to the entry into this Agreement.  </w:t>
      </w:r>
      <w:r>
        <w:t xml:space="preserve">The Construction Documents shall include all Modifications generated </w:t>
      </w:r>
      <w:r w:rsidRPr="00506482">
        <w:t xml:space="preserve">after </w:t>
      </w:r>
      <w:r>
        <w:t xml:space="preserve">the Effective Date in accordance with </w:t>
      </w:r>
      <w:r w:rsidRPr="00506482">
        <w:t>the Contract</w:t>
      </w:r>
      <w:r>
        <w:t xml:space="preserve"> Documents</w:t>
      </w:r>
      <w:r>
        <w:t xml:space="preserve">, including, without limitation, </w:t>
      </w:r>
      <w:r w:rsidRPr="00BD54ED">
        <w:t xml:space="preserve">a written amendment to the Contract signed by </w:t>
      </w:r>
      <w:r>
        <w:t>the Contractor and duly executed and approved by the District</w:t>
      </w:r>
      <w:r w:rsidRPr="00BD54ED">
        <w:t>, a Change Order, a Construction Change D</w:t>
      </w:r>
      <w:r w:rsidRPr="00A6725F">
        <w:t>ocument</w:t>
      </w:r>
      <w:r w:rsidRPr="00A6725F">
        <w:t xml:space="preserve">, or a written order for a minor change in the Work issued by the </w:t>
      </w:r>
      <w:r w:rsidRPr="00A6725F">
        <w:t>Architec</w:t>
      </w:r>
      <w:r w:rsidRPr="00D242C9">
        <w:t xml:space="preserve">t.  </w:t>
      </w:r>
    </w:p>
    <w:p w:rsidR="00E4078C" w:rsidRDefault="009760CB">
      <w:pPr>
        <w:pStyle w:val="Heading2"/>
      </w:pPr>
      <w:r>
        <w:rPr>
          <w:u w:val="single"/>
        </w:rPr>
        <w:t>Contract Documents</w:t>
      </w:r>
      <w:r>
        <w:t xml:space="preserve"> means those documents which form the entire Contract by and between District and Contractor.  </w:t>
      </w:r>
      <w:r>
        <w:t>T</w:t>
      </w:r>
      <w:r>
        <w:t xml:space="preserve">he Contract Documents consist of </w:t>
      </w:r>
      <w:r w:rsidRPr="00506482">
        <w:t>the</w:t>
      </w:r>
      <w:r>
        <w:t xml:space="preserve"> Site Lease, Sublease,</w:t>
      </w:r>
      <w:r w:rsidRPr="00506482">
        <w:t xml:space="preserve"> General, Supplementary and other Conditions, </w:t>
      </w:r>
      <w:r>
        <w:t>this Construction Service</w:t>
      </w:r>
      <w:r>
        <w:t xml:space="preserve">s Agreement, including all exhibits and attachments hereto, </w:t>
      </w:r>
      <w:r>
        <w:t xml:space="preserve">and </w:t>
      </w:r>
      <w:r>
        <w:t xml:space="preserve">the Construction Documents.  </w:t>
      </w:r>
      <w:r w:rsidRPr="00506482">
        <w:t>The Contract Documents collectively form the Contract.  The Contract represents the entire and integrated Agreement between the parties hereto and supersedes prior</w:t>
      </w:r>
      <w:r w:rsidRPr="00506482">
        <w:t xml:space="preserve"> negotiations, representations, or agreements, either written or oral.  The Contract may be amended or modified only by a written Modification.  The Contract Documents shall </w:t>
      </w:r>
      <w:r>
        <w:t xml:space="preserve">be binding solely upon the District and Contractor, do </w:t>
      </w:r>
      <w:r w:rsidRPr="00506482">
        <w:t>not create a contractual re</w:t>
      </w:r>
      <w:r w:rsidRPr="00506482">
        <w:t>lationship of any kind between the Architect and Contractor, between the District and any Subcontractor or Sub-subcontractor, or between any persons or entities other than the District and the Contractor</w:t>
      </w:r>
      <w:r>
        <w:t>, and are not intended to and do not create any third</w:t>
      </w:r>
      <w:r>
        <w:t xml:space="preserve"> party beneficiary</w:t>
      </w:r>
      <w:r w:rsidRPr="00506482">
        <w:t>.  The Architect shall, however, be entitled to performance and enforcement of obligations under the Contract intended to facilitate performa</w:t>
      </w:r>
      <w:r>
        <w:t>nce of the Architect’s duties.</w:t>
      </w:r>
    </w:p>
    <w:p w:rsidR="00E4078C" w:rsidRDefault="009760CB">
      <w:pPr>
        <w:pStyle w:val="Heading2"/>
      </w:pPr>
      <w:r>
        <w:rPr>
          <w:u w:val="single"/>
        </w:rPr>
        <w:t>Contract Time</w:t>
      </w:r>
      <w:r w:rsidRPr="00494A6F">
        <w:t xml:space="preserve"> </w:t>
      </w:r>
      <w:r>
        <w:t>is the time period specified in the Contract Documen</w:t>
      </w:r>
      <w:r>
        <w:t>ts in which the Project shall be completed.  This is sometimes referred to a Contract Duration, or “time in</w:t>
      </w:r>
      <w:r>
        <w:t xml:space="preserve"> which the Contractor has to C</w:t>
      </w:r>
      <w:r>
        <w:t xml:space="preserve">omplete the Project”.  See Article </w:t>
      </w:r>
      <w:r>
        <w:t>9</w:t>
      </w:r>
      <w:r>
        <w:t>.</w:t>
      </w:r>
    </w:p>
    <w:p w:rsidR="00E4078C" w:rsidRDefault="009760CB">
      <w:pPr>
        <w:pStyle w:val="Heading2"/>
      </w:pPr>
      <w:r>
        <w:rPr>
          <w:u w:val="single"/>
        </w:rPr>
        <w:t>Day</w:t>
      </w:r>
      <w:r w:rsidRPr="00494A6F">
        <w:t xml:space="preserve"> </w:t>
      </w:r>
      <w:r>
        <w:t>means a calendar day unless specifically designated as a business day.</w:t>
      </w:r>
    </w:p>
    <w:p w:rsidR="00E4078C" w:rsidRDefault="009760CB">
      <w:pPr>
        <w:pStyle w:val="Heading2"/>
      </w:pPr>
      <w:r>
        <w:rPr>
          <w:u w:val="single"/>
        </w:rPr>
        <w:t>Drawin</w:t>
      </w:r>
      <w:r>
        <w:rPr>
          <w:u w:val="single"/>
        </w:rPr>
        <w:t>gs or Plans</w:t>
      </w:r>
      <w:r>
        <w:t xml:space="preserve"> are graphic and pictorial portions of the Contract Documents prepared for the Project and approved changes thereto, wherever located and whenever issued, showing the design, location, and scope of the Work, generally including plans, elevations</w:t>
      </w:r>
      <w:r>
        <w:t>, sections, details, schedules, and diagrams as drawn or approved by the Architect.  Sometimes Drawings will also be included in Addenda, Change Orders, and Specifications.</w:t>
      </w:r>
    </w:p>
    <w:p w:rsidR="00E4078C" w:rsidRDefault="009760CB">
      <w:pPr>
        <w:pStyle w:val="Heading2"/>
      </w:pPr>
      <w:r>
        <w:rPr>
          <w:u w:val="single"/>
        </w:rPr>
        <w:lastRenderedPageBreak/>
        <w:t>Due Diligence</w:t>
      </w:r>
      <w:r>
        <w:t xml:space="preserve"> is the review and analysis of </w:t>
      </w:r>
      <w:r>
        <w:t>as-built documents, title documents, an</w:t>
      </w:r>
      <w:r>
        <w:t xml:space="preserve">y prior design documents for the Project or Site, geotechnical reports, surveys, site investigations and other </w:t>
      </w:r>
      <w:r>
        <w:t xml:space="preserve">documents and information </w:t>
      </w:r>
      <w:r>
        <w:t>provided by the District</w:t>
      </w:r>
      <w:r>
        <w:t>,</w:t>
      </w:r>
      <w:r>
        <w:t xml:space="preserve"> and synthesizing of information utilized to determine the components of the GMP.  Requirement</w:t>
      </w:r>
      <w:r>
        <w:t xml:space="preserve">s for Due Diligence are further addressed at Article </w:t>
      </w:r>
      <w:r>
        <w:t>5</w:t>
      </w:r>
      <w:r>
        <w:t>.</w:t>
      </w:r>
    </w:p>
    <w:p w:rsidR="005D6CCF" w:rsidRDefault="009760CB">
      <w:pPr>
        <w:pStyle w:val="Heading2"/>
      </w:pPr>
      <w:r>
        <w:rPr>
          <w:u w:val="single"/>
        </w:rPr>
        <w:t>DSA</w:t>
      </w:r>
      <w:r w:rsidRPr="00494A6F">
        <w:t xml:space="preserve"> </w:t>
      </w:r>
      <w:r>
        <w:t xml:space="preserve">is the Division of State Architect.   DSA is the agency that provides design and construction oversight for K-12 Schools, Community Colleges, and State Funded Charter School Projects.  DSA is the </w:t>
      </w:r>
      <w:r>
        <w:t xml:space="preserve">responsible agency for this Project and Contractor has submitted a bid for the Project since Contractor is familiar with Contractor’s responsibilities under the DSA requirements more thoroughly set forth at Title 24 of the California Code of Regulations.  </w:t>
      </w:r>
      <w:r>
        <w:t>Contractor agrees to abide by the jurisdiction of DSA and shall construct the Project to conform with the approved plans, specifications, Addenda, and Change Orders (inclusive of approved CCD’s and ICD’s issued by the District pending CCD approval).  The D</w:t>
      </w:r>
      <w:r>
        <w:t>SA website is at http://www.dgs.ca.gov/dsa.</w:t>
      </w:r>
    </w:p>
    <w:p w:rsidR="00E4078C" w:rsidRDefault="009760CB">
      <w:pPr>
        <w:pStyle w:val="Heading2"/>
      </w:pPr>
      <w:r>
        <w:rPr>
          <w:u w:val="single"/>
        </w:rPr>
        <w:t>Effective Date</w:t>
      </w:r>
      <w:r>
        <w:t xml:space="preserve"> is the latter of the date upon which the District Board approves the Site Lease and the Sublease and Contractor has executed the Site Lease and Sublease </w:t>
      </w:r>
    </w:p>
    <w:p w:rsidR="00E4078C" w:rsidRDefault="009760CB">
      <w:pPr>
        <w:pStyle w:val="Heading2"/>
      </w:pPr>
      <w:r>
        <w:rPr>
          <w:u w:val="single"/>
        </w:rPr>
        <w:t>Float</w:t>
      </w:r>
      <w:r w:rsidRPr="00494A6F">
        <w:t xml:space="preserve"> </w:t>
      </w:r>
      <w:r>
        <w:t xml:space="preserve">the total number of days an activity </w:t>
      </w:r>
      <w:r>
        <w:t xml:space="preserve">may be extended or delayed without delaying the Completion Date shown in the schedule.  Float will fall into three categories: (1) Rain Days; (2) Governmental Delays; and, (3) Project Float.  See Article </w:t>
      </w:r>
      <w:r>
        <w:t>9.2</w:t>
      </w:r>
      <w:r>
        <w:t>.</w:t>
      </w:r>
    </w:p>
    <w:p w:rsidR="00E4078C" w:rsidRDefault="009760CB">
      <w:pPr>
        <w:pStyle w:val="Heading2"/>
      </w:pPr>
      <w:r>
        <w:rPr>
          <w:u w:val="single"/>
        </w:rPr>
        <w:t>I</w:t>
      </w:r>
      <w:r>
        <w:rPr>
          <w:u w:val="single"/>
        </w:rPr>
        <w:t>mmediate Change Directive (ICD) is a</w:t>
      </w:r>
      <w:r>
        <w:t xml:space="preserve"> written o</w:t>
      </w:r>
      <w:r>
        <w:t>rder prepared by the Architect and signed by the District and the Architect, directing a change in the Work where the Work must proceed immediately and stating a proposed basis for adjustment, if any, in the Contract Sum or Contract Time, or both. See Arti</w:t>
      </w:r>
      <w:r>
        <w:t xml:space="preserve">cle </w:t>
      </w:r>
      <w:r>
        <w:t>17.4.1.2</w:t>
      </w:r>
    </w:p>
    <w:p w:rsidR="00E4078C" w:rsidRDefault="009760CB">
      <w:pPr>
        <w:pStyle w:val="Heading2"/>
      </w:pPr>
      <w:r>
        <w:rPr>
          <w:u w:val="single"/>
        </w:rPr>
        <w:t>Inspector of Record (IOR)</w:t>
      </w:r>
      <w:r>
        <w:t xml:space="preserve"> or Project Inspector (PI) is the individual retained by the District in accordance with Title 24 of the California </w:t>
      </w:r>
      <w:r>
        <w:t xml:space="preserve">Code of Regulations </w:t>
      </w:r>
      <w:r>
        <w:t>who will be assigned to the Project</w:t>
      </w:r>
    </w:p>
    <w:p w:rsidR="00E4078C" w:rsidRDefault="009760CB">
      <w:pPr>
        <w:pStyle w:val="Heading2"/>
      </w:pPr>
      <w:r>
        <w:rPr>
          <w:u w:val="single"/>
        </w:rPr>
        <w:t>Guaranteed Maximum Price or GMP</w:t>
      </w:r>
      <w:r>
        <w:t xml:space="preserve"> means the Guaranteed Maximum Price established pursuant to </w:t>
      </w:r>
      <w:r>
        <w:t>Article 5</w:t>
      </w:r>
      <w:r>
        <w:t xml:space="preserve"> to be paid to Contractor for Contractor’s construction of the Project hereunder, subject to any adjustments for Extra Work/Modifications as provided in Article </w:t>
      </w:r>
      <w:r>
        <w:t>17</w:t>
      </w:r>
      <w:r>
        <w:t>.</w:t>
      </w:r>
    </w:p>
    <w:p w:rsidR="00E4078C" w:rsidRDefault="009760CB">
      <w:pPr>
        <w:pStyle w:val="Heading2"/>
      </w:pPr>
      <w:r>
        <w:rPr>
          <w:u w:val="single"/>
        </w:rPr>
        <w:t>Notice of Non-Complian</w:t>
      </w:r>
      <w:r>
        <w:rPr>
          <w:u w:val="single"/>
        </w:rPr>
        <w:t>ce (DSA Form 154)</w:t>
      </w:r>
      <w:r w:rsidRPr="008A28E1">
        <w:t xml:space="preserve"> </w:t>
      </w:r>
      <w:r>
        <w:t xml:space="preserve">is a document issued by the Inspector if there is a deviation from the DSA approved Plans, Specifications, and Change Orders.  See Article </w:t>
      </w:r>
      <w:r>
        <w:t>17.2</w:t>
      </w:r>
      <w:r>
        <w:t>.</w:t>
      </w:r>
    </w:p>
    <w:p w:rsidR="00E4078C" w:rsidRDefault="009760CB">
      <w:pPr>
        <w:pStyle w:val="Heading2"/>
      </w:pPr>
      <w:bookmarkStart w:id="16" w:name="_Ref472588141"/>
      <w:r>
        <w:rPr>
          <w:u w:val="single"/>
        </w:rPr>
        <w:t>Notice to Proceed.</w:t>
      </w:r>
      <w:r>
        <w:t xml:space="preserve">  After execution of this Construction Services Agreement and the Site Lease(s) and Sublease(s) between the parties, the District shall issue a notice to the Contractor to proceed with the Project (“Notice to Proceed”), which Notice to Proceed shall includ</w:t>
      </w:r>
      <w:r>
        <w:t>e the date upon which commencement for the Project shall commence.</w:t>
      </w:r>
      <w:bookmarkEnd w:id="16"/>
    </w:p>
    <w:p w:rsidR="0069594E" w:rsidRDefault="009760CB" w:rsidP="0069594E">
      <w:pPr>
        <w:pStyle w:val="Heading2"/>
      </w:pPr>
      <w:r>
        <w:rPr>
          <w:u w:val="single"/>
        </w:rPr>
        <w:t>Plans</w:t>
      </w:r>
      <w:r w:rsidRPr="008A28E1">
        <w:t xml:space="preserve"> </w:t>
      </w:r>
      <w:r>
        <w:t xml:space="preserve">are that portion of the Construction Documents consisting of the drawings and other </w:t>
      </w:r>
      <w:r>
        <w:t xml:space="preserve">pictorial or other </w:t>
      </w:r>
      <w:r>
        <w:t>graphic expression of requirements for the work of improvement to be completed b</w:t>
      </w:r>
      <w:r>
        <w:t>y Contractor, including, without limitation, services, work, material, equipment, construction systems, instructions, quality assurance standards, workmanship, and performance of related services.</w:t>
      </w:r>
    </w:p>
    <w:p w:rsidR="00E4078C" w:rsidRDefault="009760CB">
      <w:pPr>
        <w:pStyle w:val="Heading2"/>
      </w:pPr>
      <w:r>
        <w:rPr>
          <w:u w:val="single"/>
        </w:rPr>
        <w:t>Project</w:t>
      </w:r>
      <w:r w:rsidRPr="008A28E1">
        <w:t xml:space="preserve"> </w:t>
      </w:r>
      <w:r>
        <w:t>means the</w:t>
      </w:r>
      <w:r>
        <w:t xml:space="preserve"> </w:t>
      </w:r>
      <w:r>
        <w:t>improvements to be constructed and instal</w:t>
      </w:r>
      <w:r>
        <w:t>led by the Contractor, as more particularly described and/or referenced in Exhibit “A” attached hereto.</w:t>
      </w:r>
    </w:p>
    <w:p w:rsidR="00E4078C" w:rsidRDefault="009760CB">
      <w:pPr>
        <w:pStyle w:val="Heading2"/>
      </w:pPr>
      <w:r>
        <w:rPr>
          <w:u w:val="single"/>
        </w:rPr>
        <w:t>Provide</w:t>
      </w:r>
      <w:r w:rsidRPr="008A28E1">
        <w:t xml:space="preserve"> </w:t>
      </w:r>
      <w:r>
        <w:t>shall include “provide complete in place,” that is “furnish and install complete.”</w:t>
      </w:r>
    </w:p>
    <w:p w:rsidR="00E4078C" w:rsidRDefault="009760CB">
      <w:pPr>
        <w:pStyle w:val="Heading2"/>
      </w:pPr>
      <w:r>
        <w:rPr>
          <w:u w:val="single"/>
        </w:rPr>
        <w:t>Punch List</w:t>
      </w:r>
      <w:r w:rsidRPr="008A28E1">
        <w:t xml:space="preserve"> </w:t>
      </w:r>
      <w:r>
        <w:t>is a list of minor repair items, prepared after th</w:t>
      </w:r>
      <w:r>
        <w:t xml:space="preserve">e issuance of a Certificate of Substantial Completion, by the Inspector and Architect of Work required in order to complete the Contract Documents and ensure compliance with the DSA Approved Plans so the Project may be Closed </w:t>
      </w:r>
      <w:r>
        <w:lastRenderedPageBreak/>
        <w:t xml:space="preserve">Out.  Issuance of </w:t>
      </w:r>
      <w:r>
        <w:t>the Retentio</w:t>
      </w:r>
      <w:r>
        <w:t xml:space="preserve">n </w:t>
      </w:r>
      <w:r>
        <w:t xml:space="preserve">Payment </w:t>
      </w:r>
      <w:r>
        <w:t xml:space="preserve">is dependent upon the proper completion of the Punch List.  See Article </w:t>
      </w:r>
      <w:r>
        <w:t>13.16</w:t>
      </w:r>
      <w:r>
        <w:t xml:space="preserve"> and Article </w:t>
      </w:r>
      <w:r>
        <w:t>29</w:t>
      </w:r>
      <w:r>
        <w:t>.</w:t>
      </w:r>
    </w:p>
    <w:p w:rsidR="00E4078C" w:rsidRDefault="009760CB">
      <w:pPr>
        <w:pStyle w:val="Heading2"/>
      </w:pPr>
      <w:r>
        <w:rPr>
          <w:u w:val="single"/>
        </w:rPr>
        <w:t>Request for Information (RFI)</w:t>
      </w:r>
      <w:r>
        <w:t xml:space="preserve"> is a written request prepared by the Contractor requesting the Architect to provide additional information necessary to cl</w:t>
      </w:r>
      <w:r>
        <w:t xml:space="preserve">arify or amplify an item which the Contractor believes is not clearly shown or called for in the drawings or specifications, or to address problems which have arisen under field conditions.  </w:t>
      </w:r>
    </w:p>
    <w:p w:rsidR="00E4078C" w:rsidRDefault="009760CB">
      <w:pPr>
        <w:pStyle w:val="Heading2"/>
      </w:pPr>
      <w:r>
        <w:rPr>
          <w:u w:val="single"/>
        </w:rPr>
        <w:t>Schedule</w:t>
      </w:r>
      <w:r w:rsidRPr="00494A6F">
        <w:t xml:space="preserve"> </w:t>
      </w:r>
      <w:r>
        <w:t xml:space="preserve">is the Contractor’s view of the practical way in which </w:t>
      </w:r>
      <w:r>
        <w:t xml:space="preserve">the Work will be accomplished.  In this Agreement there is a requirement for a Baseline Schedule and regular Schedule Updates that show all Work to be completed during the Contract Time and shall include all items listed under Article </w:t>
      </w:r>
      <w:r>
        <w:t>9.3</w:t>
      </w:r>
      <w:r>
        <w:t>.</w:t>
      </w:r>
    </w:p>
    <w:p w:rsidR="00E4078C" w:rsidRDefault="009760CB">
      <w:pPr>
        <w:pStyle w:val="Heading2"/>
      </w:pPr>
      <w:r>
        <w:rPr>
          <w:u w:val="single"/>
        </w:rPr>
        <w:t>Schedule of Valu</w:t>
      </w:r>
      <w:r>
        <w:rPr>
          <w:u w:val="single"/>
        </w:rPr>
        <w:t>es</w:t>
      </w:r>
      <w:r>
        <w:t xml:space="preserve"> is a detailed breakdown of the Contract Price for each Project, building, Phase of Work or Site as determined by the District.  This Schedule of Values shall adequately detail the price for the Work so </w:t>
      </w:r>
      <w:r>
        <w:t>that the status of the construction of any improvem</w:t>
      </w:r>
      <w:r>
        <w:t xml:space="preserve">ents </w:t>
      </w:r>
      <w:r>
        <w:t xml:space="preserve">can be meaningfully reviewed by the Inspector, Architect of Record, Engineer of Record, and District.   (See Article </w:t>
      </w:r>
      <w:r>
        <w:t>13.12</w:t>
      </w:r>
      <w:r>
        <w:t>)</w:t>
      </w:r>
    </w:p>
    <w:p w:rsidR="00E4078C" w:rsidRDefault="009760CB">
      <w:pPr>
        <w:pStyle w:val="Heading2"/>
      </w:pPr>
      <w:r>
        <w:rPr>
          <w:u w:val="single"/>
        </w:rPr>
        <w:t>Separate Contracts</w:t>
      </w:r>
      <w:r>
        <w:t xml:space="preserve"> are Contracts that the District may have with other Contractors, vendors, suppliers, or entities to perform </w:t>
      </w:r>
      <w:r>
        <w:t>Work on the Project.  This may include, but is not limited to Multi-Prime Trade Contractors, furniture installers, testing agencies, clean-up contractors, or network or low voltage contractors. Contractor shall plan for certain other contractors that may a</w:t>
      </w:r>
      <w:r>
        <w:t xml:space="preserve">lso be working on the Project site and address these other contractors in Contractor’s Schedule. See Article </w:t>
      </w:r>
      <w:r>
        <w:t>32</w:t>
      </w:r>
      <w:r>
        <w:t xml:space="preserve">. </w:t>
      </w:r>
    </w:p>
    <w:p w:rsidR="00E4078C" w:rsidRDefault="009760CB">
      <w:pPr>
        <w:pStyle w:val="Heading2"/>
      </w:pPr>
      <w:r>
        <w:rPr>
          <w:u w:val="single"/>
        </w:rPr>
        <w:t xml:space="preserve">Site </w:t>
      </w:r>
      <w:r>
        <w:t xml:space="preserve">refers to the grounds of the Project or in some cases may refer to multiple sites as defined in the Contract Documents and such adjacent </w:t>
      </w:r>
      <w:r>
        <w:t xml:space="preserve">lands as may be directly affected by the performance of the Work. </w:t>
      </w:r>
    </w:p>
    <w:p w:rsidR="00E4078C" w:rsidRDefault="009760CB">
      <w:pPr>
        <w:pStyle w:val="Heading2"/>
      </w:pPr>
      <w:r>
        <w:rPr>
          <w:u w:val="single"/>
        </w:rPr>
        <w:t>Site Lease</w:t>
      </w:r>
      <w:r>
        <w:rPr>
          <w:u w:val="single"/>
        </w:rPr>
        <w:t xml:space="preserve"> and/or Lease</w:t>
      </w:r>
      <w:r>
        <w:t xml:space="preserve"> means the Site Lease(s) of even date herewith, by and between the District and the Contractor together with any duly authorized and executed amendment thereto under </w:t>
      </w:r>
      <w:r>
        <w:t>which the District leases the Site to the Contractor.</w:t>
      </w:r>
    </w:p>
    <w:p w:rsidR="00E4078C" w:rsidRDefault="009760CB">
      <w:pPr>
        <w:pStyle w:val="Heading2"/>
      </w:pPr>
      <w:r>
        <w:rPr>
          <w:u w:val="single"/>
        </w:rPr>
        <w:t>Specifications</w:t>
      </w:r>
      <w:r w:rsidRPr="00494A6F">
        <w:t xml:space="preserve"> </w:t>
      </w:r>
      <w:r>
        <w:t xml:space="preserve">are that portion of the </w:t>
      </w:r>
      <w:r>
        <w:t xml:space="preserve">Construction </w:t>
      </w:r>
      <w:r>
        <w:t xml:space="preserve">Documents consisting of the written requirements for </w:t>
      </w:r>
      <w:r>
        <w:t xml:space="preserve">the work of improvement to be completed by Contractor, including, without limitation, services, work, </w:t>
      </w:r>
      <w:r>
        <w:t>material, equipment, construction systems, instructions, quality assurance standards, workmanship, and performance of related services.</w:t>
      </w:r>
    </w:p>
    <w:p w:rsidR="00E4078C" w:rsidRDefault="009760CB">
      <w:pPr>
        <w:pStyle w:val="Heading2"/>
      </w:pPr>
      <w:r>
        <w:rPr>
          <w:u w:val="single"/>
        </w:rPr>
        <w:t xml:space="preserve">Standards, Rules, </w:t>
      </w:r>
      <w:r>
        <w:rPr>
          <w:u w:val="single"/>
        </w:rPr>
        <w:t>and Regulations</w:t>
      </w:r>
      <w:r>
        <w:t xml:space="preserve"> referred to are recognized printed standards and shall be considered as one and a part of these specifications within limits specified.  Federal, state and local regulations are incorporated into the Contract Documents by reference.</w:t>
      </w:r>
    </w:p>
    <w:p w:rsidR="00E4078C" w:rsidRDefault="009760CB">
      <w:pPr>
        <w:pStyle w:val="Heading2"/>
      </w:pPr>
      <w:r>
        <w:rPr>
          <w:u w:val="single"/>
        </w:rPr>
        <w:t>Stop Wo</w:t>
      </w:r>
      <w:r>
        <w:rPr>
          <w:u w:val="single"/>
        </w:rPr>
        <w:t>rk Order, or an Order to Comply</w:t>
      </w:r>
      <w:r w:rsidRPr="008A28E1">
        <w:t xml:space="preserve"> </w:t>
      </w:r>
      <w:r>
        <w:t xml:space="preserve">is issued when either (1) the Work proceeds without DSA approval; (2) the Work proceeds without a DSA </w:t>
      </w:r>
      <w:r>
        <w:t xml:space="preserve">Project </w:t>
      </w:r>
      <w:r>
        <w:t>Inspector, or (3) where DSA determines that the Work is not being performed in accordance with applicable rules an</w:t>
      </w:r>
      <w:r>
        <w:t xml:space="preserve">d regulations, and would compromise the structural integrity of the Project or would endanger lives.  If a Stop Work Order is issued, the Work in the affected area shall cease until DSA withdraws the Stop Work Order.  Pursuant to Education Code </w:t>
      </w:r>
      <w:r>
        <w:t>section</w:t>
      </w:r>
      <w:r>
        <w:t xml:space="preserve"> 173</w:t>
      </w:r>
      <w:r>
        <w:t xml:space="preserve">07.5(b) and Education Code </w:t>
      </w:r>
      <w:r>
        <w:t>section</w:t>
      </w:r>
      <w:r>
        <w:t xml:space="preserve"> 81133.5, the District shall not be held liable in any action filed against the District for any delays caused by compliance with the Stop Work Order</w:t>
      </w:r>
      <w:r>
        <w:t>.</w:t>
      </w:r>
    </w:p>
    <w:p w:rsidR="00E4078C" w:rsidRDefault="009760CB">
      <w:pPr>
        <w:pStyle w:val="Heading2"/>
      </w:pPr>
      <w:r>
        <w:rPr>
          <w:u w:val="single"/>
        </w:rPr>
        <w:t>Subcontractor</w:t>
      </w:r>
      <w:r w:rsidRPr="008A28E1">
        <w:t xml:space="preserve"> </w:t>
      </w:r>
      <w:r>
        <w:t xml:space="preserve">means any person or entity, including trade contractors, </w:t>
      </w:r>
      <w:r>
        <w:t>who have a contract with Contractor to perform any work or supply materials for the Project.</w:t>
      </w:r>
    </w:p>
    <w:p w:rsidR="00E4078C" w:rsidRDefault="009760CB">
      <w:pPr>
        <w:pStyle w:val="Heading2"/>
      </w:pPr>
      <w:r>
        <w:rPr>
          <w:u w:val="single"/>
        </w:rPr>
        <w:lastRenderedPageBreak/>
        <w:t>Sublease(s)</w:t>
      </w:r>
      <w:r>
        <w:t xml:space="preserve"> means the Sublease(s) of even date herewith by and between the District and Contractor together with any duly authorized and executed amendment hereto </w:t>
      </w:r>
      <w:r>
        <w:t>under which the District subleases the Site from the Contractor.</w:t>
      </w:r>
    </w:p>
    <w:p w:rsidR="00E4078C" w:rsidRDefault="009760CB">
      <w:pPr>
        <w:pStyle w:val="Heading2"/>
      </w:pPr>
      <w:r>
        <w:rPr>
          <w:u w:val="single"/>
        </w:rPr>
        <w:t>Sublease Payment</w:t>
      </w:r>
      <w:r>
        <w:t xml:space="preserve"> means any payment required to be made by the</w:t>
      </w:r>
      <w:r>
        <w:t xml:space="preserve"> District pursuant to</w:t>
      </w:r>
      <w:r>
        <w:t xml:space="preserve"> Section 7 of</w:t>
      </w:r>
      <w:r>
        <w:t xml:space="preserve"> </w:t>
      </w:r>
      <w:r>
        <w:t>the Sublease.</w:t>
      </w:r>
    </w:p>
    <w:p w:rsidR="00E4078C" w:rsidRDefault="009760CB" w:rsidP="00E90B8D">
      <w:pPr>
        <w:pStyle w:val="Heading2"/>
      </w:pPr>
      <w:bookmarkStart w:id="17" w:name="_Ref472587994"/>
      <w:r>
        <w:rPr>
          <w:u w:val="single"/>
        </w:rPr>
        <w:t>Substantial Completion</w:t>
      </w:r>
      <w:r>
        <w:t xml:space="preserve"> is not reached unless and until each of the following </w:t>
      </w:r>
      <w:r>
        <w:t>four</w:t>
      </w:r>
      <w:r>
        <w:t xml:space="preserve"> (</w:t>
      </w:r>
      <w:r>
        <w:t>4</w:t>
      </w:r>
      <w:r>
        <w:t xml:space="preserve">) conditions have been met:  (1) all contractually required items have been installed with the exception of only </w:t>
      </w:r>
      <w:r>
        <w:t xml:space="preserve"> </w:t>
      </w:r>
      <w:r>
        <w:t xml:space="preserve">minor and Incomplete Punch Items (See Article </w:t>
      </w:r>
      <w:r>
        <w:t>13.16</w:t>
      </w:r>
      <w:r>
        <w:t xml:space="preserve">); (2) All Fire/Life Safety Systems have been installed, and are working and signed off </w:t>
      </w:r>
      <w:r>
        <w:t xml:space="preserve">on the DSA Form 152 Inspection Card, all building systems including mechanical, electrical and plumbing are all functioning; (3) </w:t>
      </w:r>
      <w:r w:rsidRPr="00E90B8D">
        <w:t>all other items</w:t>
      </w:r>
      <w:r>
        <w:t xml:space="preserve"> </w:t>
      </w:r>
      <w:r>
        <w:t xml:space="preserve">on the </w:t>
      </w:r>
      <w:r w:rsidRPr="00E90B8D">
        <w:t xml:space="preserve">DSA Form 152 </w:t>
      </w:r>
      <w:r>
        <w:t>Inspection Card for the Project</w:t>
      </w:r>
      <w:r w:rsidRPr="00E90B8D">
        <w:t xml:space="preserve"> have been approved and signed off</w:t>
      </w:r>
      <w:r>
        <w:t xml:space="preserve">; and (4) </w:t>
      </w:r>
      <w:r>
        <w:t>the Project is f</w:t>
      </w:r>
      <w:r>
        <w:t>it for o</w:t>
      </w:r>
      <w:r>
        <w:t>ccupancy and its intended use</w:t>
      </w:r>
      <w:r w:rsidRPr="00795C7F">
        <w:t>, as certified by the Architect pursuant to the Certificate of Substantial Completion set forth in the Division 1 Forms attached hereto</w:t>
      </w:r>
      <w:r>
        <w:t>.</w:t>
      </w:r>
      <w:bookmarkEnd w:id="17"/>
    </w:p>
    <w:p w:rsidR="00E4078C" w:rsidRDefault="009760CB">
      <w:pPr>
        <w:pStyle w:val="Heading2"/>
      </w:pPr>
      <w:r>
        <w:rPr>
          <w:u w:val="single"/>
        </w:rPr>
        <w:t>Substitution</w:t>
      </w:r>
      <w:r>
        <w:t xml:space="preserve"> is a change in product, material, equipment, or method of constructio</w:t>
      </w:r>
      <w:r>
        <w:t xml:space="preserve">n from those required by the Construction Documents proposed by the Contractor.  Specific requirements for substitutions are set forth at Article </w:t>
      </w:r>
      <w:r>
        <w:t>16</w:t>
      </w:r>
      <w:r>
        <w:t>.</w:t>
      </w:r>
    </w:p>
    <w:p w:rsidR="007037B0" w:rsidRPr="007037B0" w:rsidRDefault="009760CB" w:rsidP="007C0C48">
      <w:pPr>
        <w:pStyle w:val="Heading2"/>
      </w:pPr>
      <w:r w:rsidRPr="007037B0">
        <w:rPr>
          <w:u w:val="single"/>
        </w:rPr>
        <w:t>Unforeseen Allowance</w:t>
      </w:r>
      <w:r>
        <w:t xml:space="preserve"> </w:t>
      </w:r>
      <w:r w:rsidRPr="007037B0">
        <w:t>means</w:t>
      </w:r>
      <w:r>
        <w:t xml:space="preserve"> the</w:t>
      </w:r>
      <w:r w:rsidRPr="007037B0">
        <w:t xml:space="preserve"> budget established for hazardous substances and underground conditions that</w:t>
      </w:r>
      <w:r w:rsidRPr="007037B0">
        <w:t xml:space="preserve"> differ from representations in the Contr</w:t>
      </w:r>
      <w:r>
        <w:t>act Documents or Due Diligence D</w:t>
      </w:r>
      <w:r w:rsidRPr="007037B0">
        <w:t xml:space="preserve">ocuments and meet the requirements under Article </w:t>
      </w:r>
      <w:r>
        <w:t>13.15.5</w:t>
      </w:r>
      <w:r w:rsidRPr="007037B0">
        <w:t xml:space="preserve"> and </w:t>
      </w:r>
      <w:r>
        <w:t>18.4</w:t>
      </w:r>
      <w:r w:rsidRPr="007037B0">
        <w:t xml:space="preserve">.  The </w:t>
      </w:r>
      <w:r>
        <w:t xml:space="preserve">Unforeseen </w:t>
      </w:r>
      <w:r w:rsidRPr="007037B0">
        <w:t xml:space="preserve">Allowance may also include other costs as allocated in the District’s sole and absolute discretion </w:t>
      </w:r>
      <w:r w:rsidRPr="007037B0">
        <w:t>related to the Project.  The District, in its sole and absolute discretion, may use the District Continge</w:t>
      </w:r>
      <w:r>
        <w:t>ncy to fund any costs allowed under</w:t>
      </w:r>
      <w:r w:rsidRPr="007037B0">
        <w:t xml:space="preserve"> the </w:t>
      </w:r>
      <w:r>
        <w:t xml:space="preserve">Unforeseen </w:t>
      </w:r>
      <w:r w:rsidRPr="007037B0">
        <w:t>Allowance</w:t>
      </w:r>
      <w:r>
        <w:t>.</w:t>
      </w:r>
      <w:r>
        <w:t xml:space="preserve">  </w:t>
      </w:r>
      <w:r w:rsidRPr="007C0C48">
        <w:t>Any funds remaining in the Unforeseen Allowance at the completion of the Project shall r</w:t>
      </w:r>
      <w:r w:rsidRPr="007C0C48">
        <w:t>emain unspent and allocated to the District as the District sees fit to use.</w:t>
      </w:r>
    </w:p>
    <w:p w:rsidR="00E4078C" w:rsidRDefault="009760CB">
      <w:pPr>
        <w:pStyle w:val="Heading2"/>
      </w:pPr>
      <w:r>
        <w:rPr>
          <w:u w:val="single"/>
        </w:rPr>
        <w:t>Work</w:t>
      </w:r>
      <w:r>
        <w:t xml:space="preserve"> shall include all labor, materials, services and equipment necessary for the Contractor to fulfill all of its obligations pursuant to the Contract Documents. It shall include</w:t>
      </w:r>
      <w:r>
        <w:t xml:space="preserve"> extension of Contractor’s obligations to </w:t>
      </w:r>
      <w:r>
        <w:t>Subcontractor</w:t>
      </w:r>
      <w:r>
        <w:t xml:space="preserve"> to perform Subcontractor Due Diligence including, but not limited to, visiting the Site of the proposed Work (a continuing obligation after the commencement of the Work), fully acquainting and familia</w:t>
      </w:r>
      <w:r>
        <w:t>rizing itself with the conditions as they exist and the character of the operations to be carried out under the Contract Documents, and make such investigation as it may see fit so that it shall fully understand the facilities, physical conditions, and res</w:t>
      </w:r>
      <w:r>
        <w:t>trictions attending the Work under the Contract Documents.  Each such Contractor or Subcontractor shall also thoroughly examine and become familiar with the Drawings, Specifications, and associated Contract Documents.</w:t>
      </w:r>
    </w:p>
    <w:p w:rsidR="00E4078C" w:rsidRDefault="009760CB">
      <w:pPr>
        <w:pStyle w:val="Heading2"/>
      </w:pPr>
      <w:r>
        <w:rPr>
          <w:u w:val="single"/>
        </w:rPr>
        <w:t>Workers</w:t>
      </w:r>
      <w:r>
        <w:t xml:space="preserve"> include laborers, workers, and</w:t>
      </w:r>
      <w:r>
        <w:t xml:space="preserve"> mechanics.</w:t>
      </w:r>
    </w:p>
    <w:p w:rsidR="00E4078C" w:rsidRDefault="009760CB">
      <w:pPr>
        <w:pStyle w:val="Heading1"/>
      </w:pPr>
      <w:bookmarkStart w:id="18" w:name="_Toc256000004"/>
      <w:bookmarkStart w:id="19" w:name="_Toc472525886"/>
      <w:bookmarkStart w:id="20" w:name="_Ref472587546"/>
      <w:bookmarkStart w:id="21" w:name="_Ref472587574"/>
      <w:bookmarkStart w:id="22" w:name="_Ref472588213"/>
      <w:bookmarkStart w:id="23" w:name="_Ref472589505"/>
      <w:bookmarkStart w:id="24" w:name="_Ref472596661"/>
      <w:bookmarkStart w:id="25" w:name="_Ref472597021"/>
      <w:r>
        <w:t>ESTABLISHMENT OF GUARANTEED MAXIMUM PRICE “GMP”</w:t>
      </w:r>
      <w:bookmarkEnd w:id="18"/>
      <w:bookmarkEnd w:id="19"/>
      <w:bookmarkEnd w:id="20"/>
      <w:bookmarkEnd w:id="21"/>
      <w:bookmarkEnd w:id="22"/>
      <w:bookmarkEnd w:id="23"/>
      <w:bookmarkEnd w:id="24"/>
      <w:bookmarkEnd w:id="25"/>
    </w:p>
    <w:p w:rsidR="00E4078C" w:rsidRDefault="009760CB" w:rsidP="00CF61F0">
      <w:pPr>
        <w:pStyle w:val="Heading2"/>
      </w:pPr>
      <w:bookmarkStart w:id="26" w:name="_Ref472589004"/>
      <w:r>
        <w:rPr>
          <w:u w:val="single"/>
        </w:rPr>
        <w:t>Guaranteed Maximum Price (GMP)</w:t>
      </w:r>
      <w:r>
        <w:t xml:space="preserve"> </w:t>
      </w:r>
      <w:r w:rsidRPr="00CF61F0">
        <w:t>is the amount</w:t>
      </w:r>
      <w:r>
        <w:t xml:space="preserve"> </w:t>
      </w:r>
      <w:r w:rsidRPr="00CF61F0">
        <w:t>agreed upon between the District and Contractor that shall not be exceeded for the Construction of the Project within the Contract Time based on Contra</w:t>
      </w:r>
      <w:r w:rsidRPr="00CF61F0">
        <w:t>ctor’s thorough review of the Contract Documents, Due Diligence in investigation of all aspects of the Project.  The GMP includes the costs for the Sublease Payment</w:t>
      </w:r>
      <w:r>
        <w:t>s</w:t>
      </w:r>
      <w:r w:rsidRPr="00CF61F0">
        <w:t xml:space="preserve"> being paid by the District as Progress Payments and Retention </w:t>
      </w:r>
      <w:r>
        <w:t xml:space="preserve">Payment </w:t>
      </w:r>
      <w:r w:rsidRPr="00CF61F0">
        <w:t xml:space="preserve">during construction </w:t>
      </w:r>
      <w:r w:rsidRPr="00CF61F0">
        <w:t>in accordance with the terms of this</w:t>
      </w:r>
      <w:r>
        <w:t xml:space="preserve"> Construction Services Agreement</w:t>
      </w:r>
      <w:r w:rsidRPr="00CF61F0">
        <w:t xml:space="preserve">.  Any references to Progress Payments shall also mean Sublease Payments.  A Construction Contingency (Article </w:t>
      </w:r>
      <w:r>
        <w:t>5.2.1</w:t>
      </w:r>
      <w:r w:rsidRPr="00CF61F0">
        <w:t xml:space="preserve">) and an Errors and Omissions Contingency (Article </w:t>
      </w:r>
      <w:r>
        <w:t>5.2.2</w:t>
      </w:r>
      <w:r w:rsidRPr="00CF61F0">
        <w:t>) is contained w</w:t>
      </w:r>
      <w:r w:rsidRPr="00CF61F0">
        <w:t>ithin the GMP.  Costs that are outside of the GMP shall be as follows</w:t>
      </w:r>
      <w:r>
        <w:t>:</w:t>
      </w:r>
      <w:bookmarkEnd w:id="26"/>
    </w:p>
    <w:p w:rsidR="00E4078C" w:rsidRDefault="009760CB">
      <w:pPr>
        <w:pStyle w:val="Heading3"/>
      </w:pPr>
      <w:r>
        <w:t>Owner requested additional w</w:t>
      </w:r>
      <w:r>
        <w:t>ork (See Article 8)</w:t>
      </w:r>
      <w:r>
        <w:t xml:space="preserve"> to be paid under the District Contingency.</w:t>
      </w:r>
    </w:p>
    <w:p w:rsidR="006B72E3" w:rsidRPr="00F63D8B" w:rsidRDefault="009760CB" w:rsidP="000F30DE">
      <w:pPr>
        <w:pStyle w:val="Heading3"/>
      </w:pPr>
      <w:r>
        <w:lastRenderedPageBreak/>
        <w:t>Unforeseen u</w:t>
      </w:r>
      <w:r>
        <w:t xml:space="preserve">nderground </w:t>
      </w:r>
      <w:r>
        <w:t>s</w:t>
      </w:r>
      <w:r>
        <w:t xml:space="preserve">oil </w:t>
      </w:r>
      <w:r>
        <w:t>c</w:t>
      </w:r>
      <w:r>
        <w:t xml:space="preserve">onditions </w:t>
      </w:r>
      <w:r>
        <w:t xml:space="preserve">or unforeseen hazardous materials </w:t>
      </w:r>
      <w:r>
        <w:t>that meet the require</w:t>
      </w:r>
      <w:r>
        <w:t xml:space="preserve">ments of Article </w:t>
      </w:r>
      <w:r>
        <w:t>13.15.5</w:t>
      </w:r>
      <w:r>
        <w:t xml:space="preserve"> and </w:t>
      </w:r>
      <w:r>
        <w:t>18.4</w:t>
      </w:r>
      <w:r>
        <w:t xml:space="preserve"> to be paid under the Unforeseen Allowance</w:t>
      </w:r>
      <w:r>
        <w:t>.</w:t>
      </w:r>
    </w:p>
    <w:p w:rsidR="00E4078C" w:rsidRDefault="009760CB" w:rsidP="00167EB5">
      <w:pPr>
        <w:pStyle w:val="Heading2"/>
      </w:pPr>
      <w:r>
        <w:rPr>
          <w:u w:val="single"/>
        </w:rPr>
        <w:t>GMP</w:t>
      </w:r>
      <w:r>
        <w:t xml:space="preserve">.  As a result of the Due Diligence of Contractor, the GMP for the Project is set forth under Article </w:t>
      </w:r>
      <w:r>
        <w:t>3</w:t>
      </w:r>
      <w:r>
        <w:t xml:space="preserve">. The GMP is based upon all Due Diligence performed, the approved </w:t>
      </w:r>
      <w:r>
        <w:t>Construction Documents</w:t>
      </w:r>
      <w:r>
        <w:t>, and all other Contract Documents existing and reviewed by the Contractor at the time this Construction Services Agreement is entered into as more fully described and referenced in the Scope of Work set forth in Exhibit “A.”  Contrac</w:t>
      </w:r>
      <w:r>
        <w:t xml:space="preserve">tor’s detailed line item costing of the Project, or Master Budget, totaling the GMP is attached hereto as Exhibit “B.” </w:t>
      </w:r>
      <w:r>
        <w:t xml:space="preserve"> </w:t>
      </w:r>
      <w:r>
        <w:t>Furthermore, the District and Contractor represent and warrant that the GMP is separate and distinct from the Sublease Payments to be pa</w:t>
      </w:r>
      <w:r>
        <w:t>id by the District under the Sublease.</w:t>
      </w:r>
    </w:p>
    <w:p w:rsidR="00E4078C" w:rsidRDefault="009760CB">
      <w:pPr>
        <w:pStyle w:val="BodyTextFlush"/>
        <w:spacing w:before="200"/>
        <w:ind w:left="1440"/>
        <w:rPr>
          <w:sz w:val="20"/>
          <w:szCs w:val="20"/>
        </w:rPr>
      </w:pPr>
      <w:r>
        <w:rPr>
          <w:sz w:val="20"/>
          <w:szCs w:val="20"/>
        </w:rPr>
        <w:t xml:space="preserve">The GMP is an “all inclusive” price for the </w:t>
      </w:r>
      <w:r>
        <w:rPr>
          <w:sz w:val="20"/>
          <w:szCs w:val="20"/>
        </w:rPr>
        <w:t xml:space="preserve">construction of the </w:t>
      </w:r>
      <w:r>
        <w:rPr>
          <w:sz w:val="20"/>
          <w:szCs w:val="20"/>
        </w:rPr>
        <w:t>Project that is calculated after Due Diligence</w:t>
      </w:r>
      <w:r>
        <w:rPr>
          <w:sz w:val="20"/>
          <w:szCs w:val="20"/>
        </w:rPr>
        <w:t xml:space="preserve"> and </w:t>
      </w:r>
      <w:r>
        <w:rPr>
          <w:sz w:val="20"/>
          <w:szCs w:val="20"/>
        </w:rPr>
        <w:t xml:space="preserve">shall not be exceeded </w:t>
      </w:r>
      <w:r>
        <w:rPr>
          <w:sz w:val="20"/>
          <w:szCs w:val="20"/>
        </w:rPr>
        <w:t>except as set forth in this Agreement</w:t>
      </w:r>
      <w:r>
        <w:rPr>
          <w:sz w:val="20"/>
          <w:szCs w:val="20"/>
        </w:rPr>
        <w:t xml:space="preserve">.  Contractor has taken on all contingencies and calculated those contingencies out in the form of the Construction Contingency.  Contractor specifically agrees that once the Construction Contingency is fully exhausted, that Contractor can and shall </w:t>
      </w:r>
      <w:r>
        <w:rPr>
          <w:sz w:val="20"/>
          <w:szCs w:val="20"/>
        </w:rPr>
        <w:t>comple</w:t>
      </w:r>
      <w:r>
        <w:rPr>
          <w:sz w:val="20"/>
          <w:szCs w:val="20"/>
        </w:rPr>
        <w:t xml:space="preserve">te </w:t>
      </w:r>
      <w:r>
        <w:rPr>
          <w:sz w:val="20"/>
          <w:szCs w:val="20"/>
        </w:rPr>
        <w:t xml:space="preserve">the Project pursuant to the terms of this Agreement within the Contract Time.  No disputes concerning compensation, extras, </w:t>
      </w:r>
      <w:r>
        <w:rPr>
          <w:sz w:val="20"/>
          <w:szCs w:val="20"/>
        </w:rPr>
        <w:t xml:space="preserve">or </w:t>
      </w:r>
      <w:r>
        <w:rPr>
          <w:sz w:val="20"/>
          <w:szCs w:val="20"/>
        </w:rPr>
        <w:t xml:space="preserve">application of Contingencies shall be utilized as grounds to slow down or to stop work.  </w:t>
      </w:r>
      <w:r w:rsidRPr="006B72E3">
        <w:rPr>
          <w:sz w:val="20"/>
          <w:szCs w:val="20"/>
        </w:rPr>
        <w:t xml:space="preserve">The following two contingencies have </w:t>
      </w:r>
      <w:r w:rsidRPr="006B72E3">
        <w:rPr>
          <w:sz w:val="20"/>
          <w:szCs w:val="20"/>
        </w:rPr>
        <w:t xml:space="preserve">been calculated through the Due Diligence of the Contractor and shall be calculated against the contingency amounts based on application of the Change Order language of Article </w:t>
      </w:r>
      <w:r>
        <w:rPr>
          <w:sz w:val="20"/>
          <w:szCs w:val="20"/>
        </w:rPr>
        <w:t>17</w:t>
      </w:r>
      <w:r w:rsidRPr="006B72E3">
        <w:rPr>
          <w:sz w:val="20"/>
          <w:szCs w:val="20"/>
        </w:rPr>
        <w:t>.</w:t>
      </w:r>
    </w:p>
    <w:p w:rsidR="00E4078C" w:rsidRDefault="009760CB" w:rsidP="00F120FF">
      <w:pPr>
        <w:pStyle w:val="Heading3"/>
      </w:pPr>
      <w:bookmarkStart w:id="27" w:name="_Toc256000005"/>
      <w:bookmarkStart w:id="28" w:name="_Ref472588536"/>
      <w:r>
        <w:rPr>
          <w:rStyle w:val="Heading3Char"/>
          <w:i/>
        </w:rPr>
        <w:t>Construction Contingency</w:t>
      </w:r>
      <w:r>
        <w:rPr>
          <w:rStyle w:val="Heading3Char"/>
        </w:rPr>
        <w:t>. The Construction Contingency</w:t>
      </w:r>
      <w:r>
        <w:rPr>
          <w:rStyle w:val="Heading3Char"/>
        </w:rPr>
        <w:t xml:space="preserve"> set forth at Article</w:t>
      </w:r>
      <w:r>
        <w:rPr>
          <w:rStyle w:val="Heading3Char"/>
        </w:rPr>
        <w:t xml:space="preserve"> </w:t>
      </w:r>
      <w:r>
        <w:rPr>
          <w:rStyle w:val="Heading3Char"/>
        </w:rPr>
        <w:t>3.7.1</w:t>
      </w:r>
      <w:r>
        <w:rPr>
          <w:rStyle w:val="Heading3Char"/>
        </w:rPr>
        <w:t xml:space="preserve"> is for the use of the Contractor, as approved by the District, to pay for miscellaneous work items which are required to complete the Project</w:t>
      </w:r>
      <w:r>
        <w:rPr>
          <w:rStyle w:val="Heading3Char"/>
        </w:rPr>
        <w:t xml:space="preserve"> including to</w:t>
      </w:r>
      <w:bookmarkEnd w:id="27"/>
      <w:r>
        <w:rPr>
          <w:rStyle w:val="Heading3Char"/>
        </w:rPr>
        <w:t xml:space="preserve"> </w:t>
      </w:r>
      <w:r w:rsidRPr="009061C5">
        <w:t>cover trade scope gaps, missed work, areas of damage that may occur between trades during cons</w:t>
      </w:r>
      <w:r w:rsidRPr="009061C5">
        <w:t xml:space="preserve">truction, </w:t>
      </w:r>
      <w:r>
        <w:t>Subcontractor</w:t>
      </w:r>
      <w:r w:rsidRPr="009061C5">
        <w:t xml:space="preserve"> coordination problems,</w:t>
      </w:r>
      <w:r>
        <w:t xml:space="preserve"> and</w:t>
      </w:r>
      <w:r w:rsidRPr="009061C5">
        <w:t xml:space="preserve"> </w:t>
      </w:r>
      <w:r>
        <w:t>Contractor coordination</w:t>
      </w:r>
      <w:r w:rsidRPr="009061C5">
        <w:t xml:space="preserve"> error</w:t>
      </w:r>
      <w:r>
        <w:t>s</w:t>
      </w:r>
      <w:r>
        <w:rPr>
          <w:rStyle w:val="Heading3Char"/>
        </w:rPr>
        <w:t>.  The Contractor shall not use the Construction Contingency to pay for costs related to</w:t>
      </w:r>
      <w:r>
        <w:rPr>
          <w:rStyle w:val="Heading3Char"/>
        </w:rPr>
        <w:t xml:space="preserve"> the following:  </w:t>
      </w:r>
      <w:r w:rsidRPr="006B72E3">
        <w:rPr>
          <w:rStyle w:val="Heading3Char"/>
        </w:rPr>
        <w:t xml:space="preserve">(a) errors or omissions in the </w:t>
      </w:r>
      <w:r>
        <w:rPr>
          <w:rStyle w:val="Heading3Char"/>
        </w:rPr>
        <w:t>C</w:t>
      </w:r>
      <w:r w:rsidRPr="006B72E3">
        <w:rPr>
          <w:rStyle w:val="Heading3Char"/>
        </w:rPr>
        <w:t xml:space="preserve">onstruction </w:t>
      </w:r>
      <w:r>
        <w:rPr>
          <w:rStyle w:val="Heading3Char"/>
        </w:rPr>
        <w:t>D</w:t>
      </w:r>
      <w:r w:rsidRPr="006B72E3">
        <w:rPr>
          <w:rStyle w:val="Heading3Char"/>
        </w:rPr>
        <w:t>ocuments; (b) discrepanci</w:t>
      </w:r>
      <w:r w:rsidRPr="006B72E3">
        <w:rPr>
          <w:rStyle w:val="Heading3Char"/>
        </w:rPr>
        <w:t xml:space="preserve">es with the </w:t>
      </w:r>
      <w:r>
        <w:rPr>
          <w:rStyle w:val="Heading3Char"/>
        </w:rPr>
        <w:t>Construction Documents</w:t>
      </w:r>
      <w:r w:rsidRPr="006B72E3">
        <w:rPr>
          <w:rStyle w:val="Heading3Char"/>
        </w:rPr>
        <w:t xml:space="preserve"> pertaining to applicable building code requirements; and/or (c) enhancements or additions to the Scope </w:t>
      </w:r>
      <w:r>
        <w:rPr>
          <w:rStyle w:val="Heading3Char"/>
        </w:rPr>
        <w:t>of Work desired by the District</w:t>
      </w:r>
      <w:r w:rsidRPr="006B72E3">
        <w:rPr>
          <w:rStyle w:val="Heading3Char"/>
        </w:rPr>
        <w:t xml:space="preserve">.  </w:t>
      </w:r>
      <w:r w:rsidRPr="00F120FF">
        <w:rPr>
          <w:rStyle w:val="Heading3Char"/>
        </w:rPr>
        <w:t>The Contractor shall obtain writ</w:t>
      </w:r>
      <w:r>
        <w:rPr>
          <w:rStyle w:val="Heading3Char"/>
        </w:rPr>
        <w:t>ten approval from the District</w:t>
      </w:r>
      <w:r w:rsidRPr="00F120FF">
        <w:rPr>
          <w:rStyle w:val="Heading3Char"/>
        </w:rPr>
        <w:t xml:space="preserve"> prior to using the Co</w:t>
      </w:r>
      <w:r w:rsidRPr="00F120FF">
        <w:rPr>
          <w:rStyle w:val="Heading3Char"/>
        </w:rPr>
        <w:t xml:space="preserve">nstruction Contingency.  The following may be considered, at the District’s sole discretion, valid Construction Contingency items: 1) overtime and premium time, 2) costs to address safety items, 3) </w:t>
      </w:r>
      <w:r>
        <w:rPr>
          <w:rStyle w:val="Heading3Char"/>
        </w:rPr>
        <w:t xml:space="preserve">Contractor </w:t>
      </w:r>
      <w:r w:rsidRPr="00F120FF">
        <w:rPr>
          <w:rStyle w:val="Heading3Char"/>
        </w:rPr>
        <w:t xml:space="preserve">coordination issues and errors, 4) scope gaps, </w:t>
      </w:r>
      <w:r w:rsidRPr="00F120FF">
        <w:rPr>
          <w:rStyle w:val="Heading3Char"/>
        </w:rPr>
        <w:t>5) trade damage, and 6) for other items requested by the Contractor if approved by the District and in the District’s sole discretion.  If on Final Completion of the Project, funds are remaining in the Construction Contingency, such funds shall remain unsp</w:t>
      </w:r>
      <w:r w:rsidRPr="00F120FF">
        <w:rPr>
          <w:rStyle w:val="Heading3Char"/>
        </w:rPr>
        <w:t>ent and allocated to the District as the District sees fit to use</w:t>
      </w:r>
      <w:r>
        <w:t>.</w:t>
      </w:r>
      <w:bookmarkEnd w:id="28"/>
    </w:p>
    <w:p w:rsidR="006B72E3" w:rsidRDefault="009760CB" w:rsidP="006B72E3">
      <w:pPr>
        <w:pStyle w:val="Heading3"/>
      </w:pPr>
      <w:bookmarkStart w:id="29" w:name="_Ref472588545"/>
      <w:r w:rsidRPr="000F30DE">
        <w:rPr>
          <w:i/>
        </w:rPr>
        <w:t xml:space="preserve">Errors and Omissions </w:t>
      </w:r>
      <w:r>
        <w:rPr>
          <w:i/>
        </w:rPr>
        <w:t>Contingency</w:t>
      </w:r>
      <w:r>
        <w:t xml:space="preserve">.  Within the GMP shall be a line item amount to cover errors and omissions in the </w:t>
      </w:r>
      <w:r>
        <w:t>Construction Documents</w:t>
      </w:r>
      <w:r>
        <w:t xml:space="preserve"> (“Errors and Omissions </w:t>
      </w:r>
      <w:r>
        <w:t>Contingency</w:t>
      </w:r>
      <w:r>
        <w:t>”).  The Errors a</w:t>
      </w:r>
      <w:r>
        <w:t xml:space="preserve">nd Omissions </w:t>
      </w:r>
      <w:r>
        <w:t>Contingency</w:t>
      </w:r>
      <w:r>
        <w:t xml:space="preserve"> at Article </w:t>
      </w:r>
      <w:r>
        <w:t>3.6.2</w:t>
      </w:r>
      <w:r>
        <w:t xml:space="preserve"> is calculated based on coordination review of the </w:t>
      </w:r>
      <w:r>
        <w:t>Construction Documents</w:t>
      </w:r>
      <w:r>
        <w:t xml:space="preserve"> and coordination meetings that have been held with the </w:t>
      </w:r>
      <w:r>
        <w:t>Subcontractor</w:t>
      </w:r>
      <w:r>
        <w:t>s and Architect.  Specifically, it is the coordination items that could n</w:t>
      </w:r>
      <w:r>
        <w:t>ot be addressed through coordination meetings and a factor determined based on the coordination review that has been p</w:t>
      </w:r>
      <w:r>
        <w:t>erformed by Contractor.  T</w:t>
      </w:r>
      <w:r>
        <w:t xml:space="preserve">he Errors and Omissions </w:t>
      </w:r>
      <w:r>
        <w:t>Contingency</w:t>
      </w:r>
      <w:r>
        <w:t xml:space="preserve"> is created from Contractor’s Due Diligence and based on Contractor’s experie</w:t>
      </w:r>
      <w:r>
        <w:t xml:space="preserve">nce on similar projects.  As a result, Contractor agrees that Contractor shall not seek to charge District for Errors and Omissions in excess of the Errors and Omissions </w:t>
      </w:r>
      <w:r>
        <w:t>Contingency</w:t>
      </w:r>
      <w:r>
        <w:t xml:space="preserve">.  In other words, the Errors and Omissions </w:t>
      </w:r>
      <w:r>
        <w:t>Contingency</w:t>
      </w:r>
      <w:r>
        <w:t xml:space="preserve"> is the maximum sum </w:t>
      </w:r>
      <w:r>
        <w:t xml:space="preserve">available to compensate the Contractor for Errors and Omissions on the part of the Architect and Architect’s </w:t>
      </w:r>
      <w:r>
        <w:lastRenderedPageBreak/>
        <w:t>Consultants and is the maximum amount that can be charged.  Contractor shall bear all costs for Errors and Omissions that exceed the Errors and Omi</w:t>
      </w:r>
      <w:r>
        <w:t xml:space="preserve">ssions </w:t>
      </w:r>
      <w:r>
        <w:t>Contingency</w:t>
      </w:r>
      <w:r>
        <w:t>.</w:t>
      </w:r>
      <w:bookmarkEnd w:id="29"/>
    </w:p>
    <w:p w:rsidR="00E4078C" w:rsidRDefault="009760CB" w:rsidP="00820EB0">
      <w:pPr>
        <w:pStyle w:val="Heading4"/>
        <w:numPr>
          <w:ilvl w:val="0"/>
          <w:numId w:val="0"/>
        </w:numPr>
        <w:ind w:left="2430"/>
      </w:pPr>
      <w:r>
        <w:t>Contractor shall notify the District under the Change Order Provisions of the need for such work and specifically identify the Work as Errors and Omissions by submitting to the District for its consideration and approval or disapproval,</w:t>
      </w:r>
      <w:r>
        <w:t xml:space="preserve"> a written request for the work before such work is performed.  If District approves such request in writing, the costs of the work, shall be added to or deducted from the </w:t>
      </w:r>
      <w:r>
        <w:t xml:space="preserve">Errors and Omissions </w:t>
      </w:r>
      <w:r>
        <w:t>Contingency</w:t>
      </w:r>
      <w:r>
        <w:t xml:space="preserve"> within the GMP.  Any funds remaining in the </w:t>
      </w:r>
      <w:r>
        <w:t xml:space="preserve">Errors </w:t>
      </w:r>
      <w:r>
        <w:t xml:space="preserve">and Omissions </w:t>
      </w:r>
      <w:r>
        <w:t>Contingency</w:t>
      </w:r>
      <w:r>
        <w:t xml:space="preserve"> at the completion of the Project shall remain unspent and allocated to the District</w:t>
      </w:r>
      <w:r>
        <w:t xml:space="preserve"> as the District sees fit to use</w:t>
      </w:r>
      <w:r>
        <w:t xml:space="preserve">, except for any portions of Savings added to the Errors and Omissions </w:t>
      </w:r>
      <w:r>
        <w:t>Contingency</w:t>
      </w:r>
      <w:r>
        <w:t>, which Savings shall be allocate</w:t>
      </w:r>
      <w:r>
        <w:t xml:space="preserve">d between the parties as provided in Article </w:t>
      </w:r>
      <w:r>
        <w:t>7</w:t>
      </w:r>
      <w:r>
        <w:t xml:space="preserve"> below</w:t>
      </w:r>
      <w:r>
        <w:t>.</w:t>
      </w:r>
    </w:p>
    <w:p w:rsidR="00E4078C" w:rsidRDefault="009760CB">
      <w:pPr>
        <w:pStyle w:val="Heading2"/>
      </w:pPr>
      <w:bookmarkStart w:id="30" w:name="_Ref472587752"/>
      <w:r>
        <w:t>Due Diligence</w:t>
      </w:r>
      <w:r>
        <w:t xml:space="preserve">  </w:t>
      </w:r>
      <w:bookmarkEnd w:id="30"/>
    </w:p>
    <w:p w:rsidR="00E4078C" w:rsidRDefault="009760CB">
      <w:pPr>
        <w:pStyle w:val="Heading3"/>
      </w:pPr>
      <w:r>
        <w:t>D</w:t>
      </w:r>
      <w:r>
        <w:rPr>
          <w:i/>
        </w:rPr>
        <w:t>ocuments Reviewed.</w:t>
      </w:r>
      <w:r>
        <w:t xml:space="preserve">  Contractor has visited the site, entered and evaluated the structures on the site, reviewed all as-built information, environmental reports, Asbestos Hazard Emergenc</w:t>
      </w:r>
      <w:r>
        <w:t xml:space="preserve">y Response Act of 1986 reports applicable to the Project, lead reports, reports on any other hazardous substances, reviewed environmental impact reports, reviewed applicable mitigation measures for the Project, </w:t>
      </w:r>
      <w:r>
        <w:t xml:space="preserve">reviewed and observed </w:t>
      </w:r>
      <w:r>
        <w:t>the current site condit</w:t>
      </w:r>
      <w:r>
        <w:t>ions, reviewed available records from City and/or County Records on the Project</w:t>
      </w:r>
      <w:r>
        <w:t>.  All documents provided or</w:t>
      </w:r>
      <w:r>
        <w:t xml:space="preserve"> reviewed by the Contractor shall be referred to collectively as the Due Diligence Documents.</w:t>
      </w:r>
    </w:p>
    <w:p w:rsidR="00E4078C" w:rsidRDefault="009760CB">
      <w:pPr>
        <w:pStyle w:val="Heading3"/>
      </w:pPr>
      <w:r>
        <w:rPr>
          <w:i/>
        </w:rPr>
        <w:t>Review of Existing Conditions.</w:t>
      </w:r>
      <w:r>
        <w:t xml:space="preserve">  Contract</w:t>
      </w:r>
      <w:r>
        <w:t>or</w:t>
      </w:r>
      <w:r>
        <w:t xml:space="preserve"> must have pe</w:t>
      </w:r>
      <w:r>
        <w:t>rformed basic confirmation of the As-Built information that exists as part of the Due Diligence process.  This basic confirmation shall include:</w:t>
      </w:r>
    </w:p>
    <w:p w:rsidR="00E4078C" w:rsidRDefault="009760CB">
      <w:pPr>
        <w:pStyle w:val="Heading3"/>
      </w:pPr>
      <w:r>
        <w:rPr>
          <w:u w:val="single"/>
        </w:rPr>
        <w:t>Confirmation of overall dimensions</w:t>
      </w:r>
      <w:r>
        <w:t xml:space="preserve"> of major column lines, location of elements where coordination of new constr</w:t>
      </w:r>
      <w:r>
        <w:t>uction to existing construction is to occur, confirmation that the rooms noted are located on the drawings, review and confirmation that rooms have not been reconfigured.</w:t>
      </w:r>
    </w:p>
    <w:p w:rsidR="00E4078C" w:rsidRDefault="009760CB">
      <w:pPr>
        <w:pStyle w:val="Heading4"/>
      </w:pPr>
      <w:r>
        <w:rPr>
          <w:u w:val="single"/>
        </w:rPr>
        <w:t>Confirmation of location for utilities and supporting infrastructure</w:t>
      </w:r>
      <w:r>
        <w:t xml:space="preserve">.  Contractor </w:t>
      </w:r>
      <w:r>
        <w:t>shall review the utilities and confirm that the infrastructure from the As-Builts and Contract Documents are consistent with the actual As-Built Conditions of the Project site.</w:t>
      </w:r>
    </w:p>
    <w:p w:rsidR="00E4078C" w:rsidRDefault="009760CB">
      <w:pPr>
        <w:pStyle w:val="Heading4"/>
      </w:pPr>
      <w:r>
        <w:rPr>
          <w:u w:val="single"/>
        </w:rPr>
        <w:t>Confirmation that fire/life safety elements</w:t>
      </w:r>
      <w:r>
        <w:t xml:space="preserve"> are consistent with expectations of</w:t>
      </w:r>
      <w:r>
        <w:t xml:space="preserve"> the Contract Documents.  Specifically, confirmation of the integrity of one-hour corridors, fire separations, working fire sprinklers, working fire alarms, communications systems, EMS systems, and other systems that are to remain in use and relied upon as</w:t>
      </w:r>
      <w:r>
        <w:t xml:space="preserve"> part of the anticipated Project.</w:t>
      </w:r>
    </w:p>
    <w:p w:rsidR="00E4078C" w:rsidRDefault="009760CB">
      <w:pPr>
        <w:pStyle w:val="Heading4"/>
      </w:pPr>
      <w:bookmarkStart w:id="31" w:name="_Toc256000006"/>
      <w:r>
        <w:rPr>
          <w:rStyle w:val="Heading4Char"/>
          <w:u w:val="single"/>
        </w:rPr>
        <w:t>Review of the Environmental Documents</w:t>
      </w:r>
      <w:bookmarkEnd w:id="31"/>
      <w:r>
        <w:rPr>
          <w:rStyle w:val="Heading4Char"/>
          <w:u w:val="single"/>
        </w:rPr>
        <w:t xml:space="preserve"> </w:t>
      </w:r>
      <w:r>
        <w:t>(Asbestos, Lead, PCB’s, etc</w:t>
      </w:r>
      <w:r>
        <w:t>.</w:t>
      </w:r>
      <w:r>
        <w:t>) and general confirmation that the scope of hazardous substances is consistent with that which is shown on the environmental reports that are provided.</w:t>
      </w:r>
    </w:p>
    <w:p w:rsidR="00E4078C" w:rsidRDefault="009760CB">
      <w:pPr>
        <w:pStyle w:val="Heading4"/>
      </w:pPr>
      <w:r>
        <w:rPr>
          <w:u w:val="single"/>
        </w:rPr>
        <w:t>Con</w:t>
      </w:r>
      <w:r>
        <w:rPr>
          <w:u w:val="single"/>
        </w:rPr>
        <w:t>firmation of Working hours and specific conditions which will affect the ability to work</w:t>
      </w:r>
      <w:r>
        <w:t xml:space="preserve">.  Contractor shall check requirements for the local city and county and confirm working hours and days, testing schedules at the District for days when work shall not </w:t>
      </w:r>
      <w:r>
        <w:t xml:space="preserve">occur, other critical days when work cannot occur, mitigation measures in the EIR </w:t>
      </w:r>
      <w:r>
        <w:lastRenderedPageBreak/>
        <w:t xml:space="preserve">or Negative Declaration that may affect the ability to Work on the Project.  This review shall help Contractor build a working schedule for the Project.  </w:t>
      </w:r>
    </w:p>
    <w:p w:rsidR="00E4078C" w:rsidRDefault="009760CB" w:rsidP="003D6840">
      <w:pPr>
        <w:pStyle w:val="Heading3"/>
      </w:pPr>
      <w:r>
        <w:rPr>
          <w:i/>
        </w:rPr>
        <w:t>Review of Construct</w:t>
      </w:r>
      <w:r>
        <w:rPr>
          <w:i/>
        </w:rPr>
        <w:t>ion Documents</w:t>
      </w:r>
      <w:r>
        <w:t xml:space="preserve">.   Contractor has performed a </w:t>
      </w:r>
      <w:r>
        <w:t xml:space="preserve">complete and diligent </w:t>
      </w:r>
      <w:r>
        <w:t>review of all plans, specifications, addenda, bulletins or other documents provided as the Construction Documents or otherwise mentioned in the Construction Documents.</w:t>
      </w:r>
      <w:r>
        <w:t xml:space="preserve">  </w:t>
      </w:r>
      <w:r w:rsidRPr="003D6840">
        <w:t>The Contractor has wr</w:t>
      </w:r>
      <w:r w:rsidRPr="003D6840">
        <w:t>itten</w:t>
      </w:r>
      <w:r>
        <w:t xml:space="preserve"> and submitted</w:t>
      </w:r>
      <w:r w:rsidRPr="003D6840">
        <w:t xml:space="preserve"> RFIs to address potential design issues prior to the GMP development to obtain a comprehensive GMP that addresses design and constructability issues</w:t>
      </w:r>
      <w:r>
        <w:t>.</w:t>
      </w:r>
    </w:p>
    <w:p w:rsidR="00E4078C" w:rsidRDefault="009760CB">
      <w:pPr>
        <w:pStyle w:val="Heading3"/>
      </w:pPr>
      <w:r>
        <w:rPr>
          <w:i/>
        </w:rPr>
        <w:t>Inconsistencies</w:t>
      </w:r>
      <w:r>
        <w:t>.  All inconsistencies, timing or sequences which appear to be in error</w:t>
      </w:r>
      <w:r>
        <w:t xml:space="preserve"> in the </w:t>
      </w:r>
      <w:r>
        <w:t>Construction Documents</w:t>
      </w:r>
      <w:r>
        <w:t xml:space="preserve"> shall promptly be called to the attention of the Architect or, Engineer, for interpretation or correction.  Local conditions which may affect the structure shall be brought to the Architect’s attention at once.  In no case, s</w:t>
      </w:r>
      <w:r>
        <w:t>hall the instruction of the Architect be construed to cause work to be done which is not in conformity with the approved plans, specifications, change orders, construction change d</w:t>
      </w:r>
      <w:r>
        <w:t>ocument</w:t>
      </w:r>
      <w:r>
        <w:t>s, and as required by law. (See Title 24 Section 4-343)</w:t>
      </w:r>
    </w:p>
    <w:p w:rsidR="00EF4A1C" w:rsidRDefault="009760CB" w:rsidP="00EF4A1C">
      <w:pPr>
        <w:pStyle w:val="Heading3"/>
      </w:pPr>
      <w:r w:rsidRPr="000F30DE">
        <w:rPr>
          <w:i/>
        </w:rPr>
        <w:t xml:space="preserve">Coordination </w:t>
      </w:r>
      <w:r w:rsidRPr="000F30DE">
        <w:rPr>
          <w:i/>
        </w:rPr>
        <w:t>Review</w:t>
      </w:r>
      <w:r>
        <w:t xml:space="preserve">.  Contractor shall perform a constructability review of the Construction Documents as part of its Due Diligence to determine the level of Errors and Omissions that should be included in the Errors and Omissions </w:t>
      </w:r>
      <w:r>
        <w:t>Contingency</w:t>
      </w:r>
      <w:r>
        <w:t>.</w:t>
      </w:r>
    </w:p>
    <w:p w:rsidR="00E4078C" w:rsidRDefault="009760CB" w:rsidP="00193C01">
      <w:pPr>
        <w:pStyle w:val="Heading3"/>
      </w:pPr>
      <w:r>
        <w:rPr>
          <w:i/>
        </w:rPr>
        <w:t>Price Fluctuations</w:t>
      </w:r>
      <w:r>
        <w:t xml:space="preserve">.  </w:t>
      </w:r>
      <w:r w:rsidRPr="00193C01">
        <w:t>As p</w:t>
      </w:r>
      <w:r w:rsidRPr="00193C01">
        <w:t>art of Contractor’s Due Diligence responsibilities, Contractor is required schedule and plan to order, obtain, and store materials and equipment sufficiently in advance of its Work at no additional cost to assure that there will be no delays.  Contractor u</w:t>
      </w:r>
      <w:r w:rsidRPr="00193C01">
        <w:t>nderstands that this may be a multi-year contract and that materials fluctuate in value and shall have adequately addressed market fluctuations through agreements with Contractor vendors or by other means.  Contractor further understands and incorporates i</w:t>
      </w:r>
      <w:r w:rsidRPr="00193C01">
        <w:t>nto Contractor’s bid</w:t>
      </w:r>
      <w:r>
        <w:t xml:space="preserve"> or proposal</w:t>
      </w:r>
      <w:r w:rsidRPr="00193C01">
        <w:t xml:space="preserve"> cost any wage rate increases during the Project for the Contractor’s labor force as well as all other subcontractor and vendor labor forces. Contractor also understands the length of the Project schedule and has incorporate</w:t>
      </w:r>
      <w:r w:rsidRPr="00193C01">
        <w:t>d an appropriate budget to include labor, material, and equipment escalation costs into the GMP.  At no time will the District accept any costs associated with these increases.  District shall not be responsible for market fluctuations in costs or labor ra</w:t>
      </w:r>
      <w:r w:rsidRPr="00193C01">
        <w:t>te increases during the Project.  Contractor further has incorporated any and all cost increases in areas of Work where there may be schedule variations so that cost increases are not passed through to the District</w:t>
      </w:r>
      <w:r>
        <w:t>.</w:t>
      </w:r>
    </w:p>
    <w:p w:rsidR="00E4078C" w:rsidRDefault="009760CB">
      <w:pPr>
        <w:pStyle w:val="Heading3"/>
      </w:pPr>
      <w:r>
        <w:rPr>
          <w:i/>
        </w:rPr>
        <w:t>Coordination Review</w:t>
      </w:r>
      <w:r>
        <w:t>.  Contractor has tho</w:t>
      </w:r>
      <w:r>
        <w:t>roughly reviewed the plans, specifica</w:t>
      </w:r>
      <w:r>
        <w:t>tions, and other Due Diligence D</w:t>
      </w:r>
      <w:r>
        <w:t xml:space="preserve">ocuments and satisfied itself that the </w:t>
      </w:r>
      <w:r>
        <w:t>Construction Contingency</w:t>
      </w:r>
      <w:r>
        <w:t xml:space="preserve"> is adequate to comp</w:t>
      </w:r>
      <w:r>
        <w:t>lete the Project for the GMP.</w:t>
      </w:r>
    </w:p>
    <w:p w:rsidR="00E4078C" w:rsidRDefault="009760CB">
      <w:pPr>
        <w:pStyle w:val="Heading3"/>
      </w:pPr>
      <w:r>
        <w:rPr>
          <w:i/>
        </w:rPr>
        <w:t>Due Diligence Determinations.</w:t>
      </w:r>
      <w:r>
        <w:t xml:space="preserve">  Contractor has utilized all the available D</w:t>
      </w:r>
      <w:r>
        <w:t>ue Diligence information to verify that the contingencies are adequate and that the Project can be constructed without exceeding the GMP:</w:t>
      </w:r>
    </w:p>
    <w:p w:rsidR="00E4078C" w:rsidRDefault="009760CB" w:rsidP="009061C5">
      <w:pPr>
        <w:pStyle w:val="Heading4"/>
      </w:pPr>
      <w:r>
        <w:rPr>
          <w:u w:val="single"/>
        </w:rPr>
        <w:t>Construction Contingency</w:t>
      </w:r>
      <w:r>
        <w:t xml:space="preserve">.  Based on review of the scope of work submitted from each </w:t>
      </w:r>
      <w:r>
        <w:t>Subcontractor</w:t>
      </w:r>
      <w:r>
        <w:t>, Contractor’s Due Di</w:t>
      </w:r>
      <w:r>
        <w:t>ligence and review shall be utilized to determine the size of the Construction Contingency to cover unforeseen conditions</w:t>
      </w:r>
      <w:r>
        <w:t xml:space="preserve"> (other than noted in Article </w:t>
      </w:r>
      <w:r>
        <w:t>5.1</w:t>
      </w:r>
      <w:r>
        <w:t>)</w:t>
      </w:r>
      <w:r>
        <w:t xml:space="preserve">, </w:t>
      </w:r>
      <w:r w:rsidRPr="009061C5">
        <w:t>cover trade scope gaps, missed work, areas of damage that may occur between trades during construct</w:t>
      </w:r>
      <w:r w:rsidRPr="009061C5">
        <w:t xml:space="preserve">ion, </w:t>
      </w:r>
      <w:r>
        <w:t>Subcontractor</w:t>
      </w:r>
      <w:r w:rsidRPr="009061C5">
        <w:t xml:space="preserve"> coordination problems, </w:t>
      </w:r>
      <w:r>
        <w:t>Contractor coordination</w:t>
      </w:r>
      <w:r w:rsidRPr="009061C5">
        <w:t xml:space="preserve"> errors</w:t>
      </w:r>
      <w:r>
        <w:t>, and miscellaneous work items.</w:t>
      </w:r>
    </w:p>
    <w:p w:rsidR="001739E9" w:rsidRDefault="009760CB" w:rsidP="000F30DE">
      <w:pPr>
        <w:pStyle w:val="Heading4"/>
      </w:pPr>
      <w:r w:rsidRPr="000F30DE">
        <w:rPr>
          <w:u w:val="single"/>
        </w:rPr>
        <w:lastRenderedPageBreak/>
        <w:t>Errors and Omission Contingency.</w:t>
      </w:r>
      <w:r w:rsidRPr="009061C5">
        <w:t xml:space="preserve">  Based on a thorough review of the available Construction Documents and information located pursuant to the Due Diligence performed, a set-aside </w:t>
      </w:r>
      <w:r>
        <w:t>has</w:t>
      </w:r>
      <w:r w:rsidRPr="009061C5">
        <w:t xml:space="preserve"> be</w:t>
      </w:r>
      <w:r>
        <w:t>en</w:t>
      </w:r>
      <w:r w:rsidRPr="009061C5">
        <w:t xml:space="preserve"> made for an Errors and Omissions </w:t>
      </w:r>
      <w:r>
        <w:t>Contingency</w:t>
      </w:r>
      <w:r w:rsidRPr="009061C5">
        <w:t xml:space="preserve"> that may be utilized to compensate for construction work</w:t>
      </w:r>
      <w:r w:rsidRPr="009061C5">
        <w:t xml:space="preserve"> to correct Errors and Omissions in the </w:t>
      </w:r>
      <w:r>
        <w:t>Construction Documents</w:t>
      </w:r>
      <w:r w:rsidRPr="009061C5">
        <w:t>.</w:t>
      </w:r>
    </w:p>
    <w:p w:rsidR="00E4078C" w:rsidRDefault="009760CB" w:rsidP="003F4CE2">
      <w:pPr>
        <w:pStyle w:val="Heading4"/>
      </w:pPr>
      <w:r>
        <w:rPr>
          <w:u w:val="single"/>
        </w:rPr>
        <w:t xml:space="preserve">District </w:t>
      </w:r>
      <w:r>
        <w:rPr>
          <w:u w:val="single"/>
        </w:rPr>
        <w:t>Contingency</w:t>
      </w:r>
      <w:r>
        <w:rPr>
          <w:u w:val="single"/>
        </w:rPr>
        <w:t xml:space="preserve"> (sometimes called Owner Contingency)</w:t>
      </w:r>
      <w:r>
        <w:rPr>
          <w:u w:val="single"/>
        </w:rPr>
        <w:t>.</w:t>
      </w:r>
      <w:r>
        <w:t xml:space="preserve">  </w:t>
      </w:r>
      <w:r>
        <w:t>District</w:t>
      </w:r>
      <w:r>
        <w:t xml:space="preserve"> Contingency is a sum that is set aside by the District to address any additional services.  </w:t>
      </w:r>
      <w:r w:rsidRPr="003F4CE2">
        <w:t xml:space="preserve">In the District’s sole </w:t>
      </w:r>
      <w:r w:rsidRPr="003F4CE2">
        <w:t>discretion, design errors or omissions as determined by the District (to the extent the Errors and Omissions Contingency is exhausted) and unforeseen conditions as approved by the District</w:t>
      </w:r>
      <w:r>
        <w:t>,</w:t>
      </w:r>
      <w:r w:rsidRPr="003F4CE2">
        <w:t xml:space="preserve"> may be allocated to the District Contingency</w:t>
      </w:r>
      <w:r>
        <w:t xml:space="preserve">.  </w:t>
      </w:r>
      <w:r>
        <w:t>Specifics on applic</w:t>
      </w:r>
      <w:r>
        <w:t xml:space="preserve">ation of the Owner Contingency are set forth at Article </w:t>
      </w:r>
      <w:r>
        <w:t>8</w:t>
      </w:r>
      <w:r>
        <w:t>.</w:t>
      </w:r>
    </w:p>
    <w:p w:rsidR="00AB537D" w:rsidRDefault="009760CB" w:rsidP="00AB537D">
      <w:pPr>
        <w:pStyle w:val="Heading4"/>
      </w:pPr>
      <w:r w:rsidRPr="00AB537D">
        <w:rPr>
          <w:u w:val="single"/>
        </w:rPr>
        <w:t>Unforeseen Allowance</w:t>
      </w:r>
      <w:r w:rsidRPr="00AB537D">
        <w:t>.  Unforeseen Allowance is a sum set aside for unforeseen conditions that differ from representations in the Contract Documents or Due Diligence Documents or meet the requiremen</w:t>
      </w:r>
      <w:r w:rsidRPr="00AB537D">
        <w:t xml:space="preserve">ts under Article </w:t>
      </w:r>
      <w:r>
        <w:t>13.15.5</w:t>
      </w:r>
      <w:r w:rsidRPr="00AB537D">
        <w:t xml:space="preserve"> and </w:t>
      </w:r>
      <w:r>
        <w:t>18.4</w:t>
      </w:r>
      <w:r w:rsidRPr="00AB537D">
        <w:t>.  The Unforeseen Allowance may also include other costs as allocated in the District’s sole and absolute discretion related to the Project</w:t>
      </w:r>
      <w:r>
        <w:t>.</w:t>
      </w:r>
    </w:p>
    <w:p w:rsidR="00E4078C" w:rsidRDefault="009760CB">
      <w:pPr>
        <w:pStyle w:val="Heading3"/>
      </w:pPr>
      <w:r>
        <w:rPr>
          <w:i/>
        </w:rPr>
        <w:t>Schedule</w:t>
      </w:r>
      <w:r>
        <w:t>.  Contractor’s Due Diligence will also be critical to the Contractor’s de</w:t>
      </w:r>
      <w:r>
        <w:t>termination of the number of days required to complete the Project.  Contractor will determine if the suggested number of days from the District and Architect can be performed and shall also consider whether the Project requires Governmental or Rain day fl</w:t>
      </w:r>
      <w:r>
        <w:t>oat that exceeds th</w:t>
      </w:r>
      <w:r>
        <w:t xml:space="preserve">at set forth in Article </w:t>
      </w:r>
      <w:r>
        <w:t>9</w:t>
      </w:r>
      <w:r>
        <w:t>.  If Contractor does not note any concerns with the suggested Contract Time, then it is presumed that Contractor is in agreement with the proposed completion date the Contractor, by entering into this Agreement,</w:t>
      </w:r>
      <w:r>
        <w:t xml:space="preserve"> has determined for itself that the Project Contract Time is realistic, reasonable and includes all required Float under Article </w:t>
      </w:r>
      <w:r>
        <w:t>9</w:t>
      </w:r>
      <w:r>
        <w:t>.</w:t>
      </w:r>
    </w:p>
    <w:p w:rsidR="00E4078C" w:rsidRDefault="009760CB">
      <w:pPr>
        <w:pStyle w:val="Heading1"/>
      </w:pPr>
      <w:bookmarkStart w:id="32" w:name="_Toc256000007"/>
      <w:bookmarkStart w:id="33" w:name="_Toc472525887"/>
      <w:r>
        <w:rPr>
          <w:caps w:val="0"/>
        </w:rPr>
        <w:t>OPEN BOOK ACCOUNTING AND SELECTION OF SUBCONTRACTORS</w:t>
      </w:r>
      <w:bookmarkEnd w:id="32"/>
      <w:bookmarkEnd w:id="33"/>
    </w:p>
    <w:p w:rsidR="00E4078C" w:rsidRDefault="009760CB">
      <w:pPr>
        <w:pStyle w:val="Heading2"/>
      </w:pPr>
      <w:r>
        <w:rPr>
          <w:u w:val="single"/>
        </w:rPr>
        <w:t>Open Book Accounting</w:t>
      </w:r>
      <w:r>
        <w:rPr>
          <w:u w:val="single"/>
        </w:rPr>
        <w:t>.</w:t>
      </w:r>
      <w:r>
        <w:t xml:space="preserve">  The Contractor’s GMP shall be based on actual pr</w:t>
      </w:r>
      <w:r>
        <w:t xml:space="preserve">ocured quotes and bids from </w:t>
      </w:r>
      <w:r>
        <w:t>Subcontractor</w:t>
      </w:r>
      <w:r>
        <w:t xml:space="preserve">s, vendors, and suppliers or based on estimated costs. </w:t>
      </w:r>
      <w:r w:rsidRPr="00F75C3C">
        <w:rPr>
          <w:rStyle w:val="DeltaViewDelimiter"/>
        </w:rPr>
        <w:t>In addition, Contractor shall include an estimated overhead and profit line item along with the cost for Contractor supplied labor.  This total construction cos</w:t>
      </w:r>
      <w:r w:rsidRPr="00F75C3C">
        <w:rPr>
          <w:rStyle w:val="DeltaViewDelimiter"/>
        </w:rPr>
        <w:t xml:space="preserve">t, or Base Cost, shall be added to </w:t>
      </w:r>
      <w:r>
        <w:rPr>
          <w:rStyle w:val="DeltaViewDelimiter"/>
        </w:rPr>
        <w:t>Subcontractor</w:t>
      </w:r>
      <w:r w:rsidRPr="00F75C3C">
        <w:rPr>
          <w:rStyle w:val="DeltaViewDelimiter"/>
        </w:rPr>
        <w:t xml:space="preserve">, vendor and supplier contingencies and the </w:t>
      </w:r>
      <w:r>
        <w:rPr>
          <w:rStyle w:val="DeltaViewDelimiter"/>
        </w:rPr>
        <w:t>Construction Contingency</w:t>
      </w:r>
      <w:r w:rsidRPr="00F75C3C">
        <w:rPr>
          <w:rStyle w:val="DeltaViewDelimiter"/>
        </w:rPr>
        <w:t xml:space="preserve"> (which includes an Errors and Omissions </w:t>
      </w:r>
      <w:r>
        <w:rPr>
          <w:rStyle w:val="DeltaViewDelimiter"/>
        </w:rPr>
        <w:t>Contingency</w:t>
      </w:r>
      <w:r w:rsidRPr="00F75C3C">
        <w:rPr>
          <w:rStyle w:val="DeltaViewDelimiter"/>
        </w:rPr>
        <w:t xml:space="preserve">) to form the entire GMP.  </w:t>
      </w:r>
      <w:r>
        <w:t xml:space="preserve">As costs are incurred during the course of the Project, the Job Cost Accounting shall be updated to include actual costs incurred.  A report on costs shall be prepared as part of the GMP process and shall be provided on a </w:t>
      </w:r>
      <w:r>
        <w:t xml:space="preserve">monthly </w:t>
      </w:r>
      <w:r>
        <w:t>basis to the District.</w:t>
      </w:r>
    </w:p>
    <w:p w:rsidR="00E4078C" w:rsidRDefault="009760CB">
      <w:pPr>
        <w:pStyle w:val="Heading3"/>
      </w:pPr>
      <w:r>
        <w:rPr>
          <w:i/>
        </w:rPr>
        <w:t>Pur</w:t>
      </w:r>
      <w:r>
        <w:rPr>
          <w:i/>
        </w:rPr>
        <w:t>pose</w:t>
      </w:r>
      <w:r>
        <w:t>.  While competitive bidding is often viewed as the lowest price, utilizing the lowest bid neither results in the best contractor, efficient construction, or a properly completed product.  In some cases, the Project becomes significantly more expensive</w:t>
      </w:r>
      <w:r>
        <w:t xml:space="preserve"> because competitive bid contractors either don’t understand the drawings, aren’t qualified to build the Project, or are seeking to utilize the legal process to make money by bringing claims against the District.  The lease </w:t>
      </w:r>
      <w:r>
        <w:t>l</w:t>
      </w:r>
      <w:r>
        <w:t>easeback methodology provides t</w:t>
      </w:r>
      <w:r>
        <w:t>he ability to negotiate for the most qualified competent contractor and allow coordination and interaction between the Contractor, Architect and District to alleviate unnecessary problems or areas that would result in claims.  However, in exchange for this</w:t>
      </w:r>
      <w:r>
        <w:t xml:space="preserve"> flexibility and reduction in claims, it is in the District’s best interests, as a public entity, to ensure that the Project accounting information is available for review and the </w:t>
      </w:r>
      <w:r>
        <w:lastRenderedPageBreak/>
        <w:t>financial aspects of the Project can be fully reviewed.  Thus, Contractor ag</w:t>
      </w:r>
      <w:r>
        <w:t>rees that all job cost information shall be</w:t>
      </w:r>
      <w:r>
        <w:t xml:space="preserve"> kept in an “open book” manner, shall show the actual transactions that occurred for the Project and</w:t>
      </w:r>
      <w:r>
        <w:t xml:space="preserve"> shall be disclosable to the State if State funds are being utilized.</w:t>
      </w:r>
    </w:p>
    <w:p w:rsidR="00E4078C" w:rsidRDefault="009760CB">
      <w:pPr>
        <w:pStyle w:val="Heading3"/>
      </w:pPr>
      <w:r>
        <w:rPr>
          <w:i/>
        </w:rPr>
        <w:t>State Allocation Board Issues.</w:t>
      </w:r>
      <w:r>
        <w:t xml:space="preserve">  The Office </w:t>
      </w:r>
      <w:r>
        <w:t xml:space="preserve">of Public School Construction, the administering agency for the State Allocation Board, audits the costs for construction under the general authority of Education Code </w:t>
      </w:r>
      <w:r>
        <w:t>section</w:t>
      </w:r>
      <w:r>
        <w:t xml:space="preserve"> 17076.10 and under the specific authority of</w:t>
      </w:r>
      <w:r>
        <w:t xml:space="preserve"> Regulation Section 1859.100 et</w:t>
      </w:r>
      <w:r>
        <w:t xml:space="preserve"> seq.</w:t>
      </w:r>
      <w:r>
        <w:t xml:space="preserve"> governing program accountability audit, material inaccuracy, and expenditure audits.  Given the fact the State has approved the </w:t>
      </w:r>
      <w:r>
        <w:t>lease-leaseback</w:t>
      </w:r>
      <w:r>
        <w:t xml:space="preserve"> delivery method, and the likelihood that the records of the Project will be audited if there are State Funds in</w:t>
      </w:r>
      <w:r>
        <w:t>volved, a permanent record of all the financial transactions for the construction of the Project shall be available through an Open Book Accounting of the Project expenditures of both hard and soft costs including, but not limited to labor, material and se</w:t>
      </w:r>
      <w:r>
        <w:t>rvices costs, including the subcontract and material costs that were utilized to build the Project.</w:t>
      </w:r>
    </w:p>
    <w:p w:rsidR="00E4078C" w:rsidRDefault="009760CB">
      <w:pPr>
        <w:pStyle w:val="Heading3"/>
      </w:pPr>
      <w:r>
        <w:rPr>
          <w:i/>
        </w:rPr>
        <w:t>Value Engineering During the Project.</w:t>
      </w:r>
      <w:r>
        <w:t xml:space="preserve">  In addition to Value En</w:t>
      </w:r>
      <w:r>
        <w:t xml:space="preserve">gineering addressed at Article </w:t>
      </w:r>
      <w:r>
        <w:t>7</w:t>
      </w:r>
      <w:r>
        <w:t xml:space="preserve"> below, Contractor may have occasion where better pricing can </w:t>
      </w:r>
      <w:r>
        <w:t xml:space="preserve">be obtained from </w:t>
      </w:r>
      <w:r>
        <w:t>Subcontractor</w:t>
      </w:r>
      <w:r>
        <w:t xml:space="preserve">s or suppliers.  This better pricing shall be treated as part of Savings under Article </w:t>
      </w:r>
      <w:r>
        <w:t>7</w:t>
      </w:r>
      <w:r>
        <w:t>.</w:t>
      </w:r>
    </w:p>
    <w:p w:rsidR="00E4078C" w:rsidRDefault="009760CB">
      <w:pPr>
        <w:pStyle w:val="Heading2"/>
      </w:pPr>
      <w:r>
        <w:rPr>
          <w:u w:val="single"/>
        </w:rPr>
        <w:t>Scope Reduction Not Savings</w:t>
      </w:r>
      <w:r>
        <w:t>.   The District at all times shall have the right to reduce the scope of the Project.  If the District reduc</w:t>
      </w:r>
      <w:r>
        <w:t xml:space="preserve">es the scope of the Project, the GMP shall be reduced to </w:t>
      </w:r>
      <w:r>
        <w:t>reflect</w:t>
      </w:r>
      <w:r>
        <w:t xml:space="preserve"> the reduced Scope of Work, pursuant to the provisions of Article </w:t>
      </w:r>
      <w:r>
        <w:t>17</w:t>
      </w:r>
      <w:r>
        <w:t xml:space="preserve">.  To the extent possible, it is the mutual goal of the District and Contractor to maximize the Scope of Work as allowed by </w:t>
      </w:r>
      <w:r>
        <w:t>the GMP.  Reductions in scope are not considered Savings.</w:t>
      </w:r>
    </w:p>
    <w:p w:rsidR="00E4078C" w:rsidRDefault="009760CB">
      <w:pPr>
        <w:pStyle w:val="Heading2"/>
      </w:pPr>
      <w:bookmarkStart w:id="34" w:name="_Ref472587607"/>
      <w:r w:rsidRPr="00391575">
        <w:rPr>
          <w:u w:val="single"/>
        </w:rPr>
        <w:t>Selection of Subcontractors</w:t>
      </w:r>
      <w:r>
        <w:t>.</w:t>
      </w:r>
      <w:bookmarkEnd w:id="34"/>
    </w:p>
    <w:p w:rsidR="00E54B97" w:rsidRDefault="009760CB" w:rsidP="00D83ED1">
      <w:pPr>
        <w:pStyle w:val="Heading3"/>
      </w:pPr>
      <w:r>
        <w:t>If identified or requested in the</w:t>
      </w:r>
      <w:r w:rsidRPr="00D83ED1">
        <w:t xml:space="preserve"> </w:t>
      </w:r>
      <w:r>
        <w:t>District’s Request for Proposal/ Qualifications</w:t>
      </w:r>
      <w:r>
        <w:t xml:space="preserve">  (“RFP/RFQ”)</w:t>
      </w:r>
      <w:r>
        <w:t xml:space="preserve">, the Contractor </w:t>
      </w:r>
      <w:r>
        <w:t>must</w:t>
      </w:r>
      <w:r>
        <w:t xml:space="preserve"> use any Subcontractors identified and included in the</w:t>
      </w:r>
      <w:r>
        <w:t xml:space="preserve"> Contractor’s response to the District’s </w:t>
      </w:r>
      <w:r>
        <w:t xml:space="preserve">RFP/RFQ </w:t>
      </w:r>
      <w:r>
        <w:t xml:space="preserve">pursuant to Education Code section 17406(a)(4).  </w:t>
      </w:r>
      <w:r w:rsidRPr="00D83ED1">
        <w:t xml:space="preserve">All </w:t>
      </w:r>
      <w:r>
        <w:t xml:space="preserve">Subcontractors identified and included in the Contractor’s response to the District’s </w:t>
      </w:r>
      <w:r>
        <w:t>RFP/RFQ</w:t>
      </w:r>
      <w:r w:rsidRPr="00D83ED1">
        <w:t xml:space="preserve"> </w:t>
      </w:r>
      <w:r w:rsidRPr="00D83ED1">
        <w:t>shall be afforded the protections of the Subletting and Subc</w:t>
      </w:r>
      <w:r w:rsidRPr="00D83ED1">
        <w:t>ontracting Fair Practices Act (Chapter 4 (commencing with Section 4100) of Part 1 of Division 2 of the Public Contract Code</w:t>
      </w:r>
      <w:r>
        <w:t>)</w:t>
      </w:r>
      <w:r>
        <w:t>.</w:t>
      </w:r>
    </w:p>
    <w:p w:rsidR="00934924" w:rsidRDefault="009760CB" w:rsidP="00E12874">
      <w:pPr>
        <w:pStyle w:val="Heading3"/>
      </w:pPr>
      <w:bookmarkStart w:id="35" w:name="_Ref472589191"/>
      <w:r>
        <w:t>Following the award of the Contract to the Contractor by the District’s Board of Education, and for all Subcontractors not identif</w:t>
      </w:r>
      <w:r>
        <w:t xml:space="preserve">ied in the </w:t>
      </w:r>
      <w:r>
        <w:t xml:space="preserve">Contractor’s response to the District’s </w:t>
      </w:r>
      <w:r>
        <w:t>RFP/RFQ</w:t>
      </w:r>
      <w:r>
        <w:t xml:space="preserve">, the </w:t>
      </w:r>
      <w:r>
        <w:t xml:space="preserve">Contractor </w:t>
      </w:r>
      <w:r>
        <w:t>shall proceed as fo</w:t>
      </w:r>
      <w:r>
        <w:t>llows in awarding construction S</w:t>
      </w:r>
      <w:r>
        <w:t>ubcontracts with a value</w:t>
      </w:r>
      <w:r>
        <w:t xml:space="preserve"> exceeding one-half of one</w:t>
      </w:r>
      <w:r>
        <w:t xml:space="preserve"> percent of the price allocable to construction work:</w:t>
      </w:r>
      <w:bookmarkEnd w:id="35"/>
    </w:p>
    <w:p w:rsidR="00205C13" w:rsidRDefault="009760CB" w:rsidP="00205C13">
      <w:pPr>
        <w:pStyle w:val="Heading4"/>
      </w:pPr>
      <w:r>
        <w:t>Provide public notice of availability of work to be subcontracted in accordance with the publication requirements applicable to the competitive bidding process of the District, including a fixed date and time on which qualifications statements, bids, or pr</w:t>
      </w:r>
      <w:r>
        <w:t>oposals will be due.</w:t>
      </w:r>
    </w:p>
    <w:p w:rsidR="00934924" w:rsidRDefault="009760CB" w:rsidP="00205C13">
      <w:pPr>
        <w:pStyle w:val="Heading4"/>
      </w:pPr>
      <w:r>
        <w:t>Establish reasonable qualification criteria and standards.</w:t>
      </w:r>
    </w:p>
    <w:p w:rsidR="00934924" w:rsidRDefault="009760CB" w:rsidP="00205C13">
      <w:pPr>
        <w:pStyle w:val="Heading4"/>
      </w:pPr>
      <w:r>
        <w:t xml:space="preserve">Award the subcontract either on a best value basis or to the lowest responsible bidder. </w:t>
      </w:r>
      <w:r>
        <w:t xml:space="preserve"> </w:t>
      </w:r>
      <w:r>
        <w:t xml:space="preserve">The process may include prequalification or short-listing. </w:t>
      </w:r>
      <w:r>
        <w:t xml:space="preserve"> </w:t>
      </w:r>
      <w:r>
        <w:t>The process shall not apply</w:t>
      </w:r>
      <w:r>
        <w:t xml:space="preserve"> to </w:t>
      </w:r>
      <w:r>
        <w:t>S</w:t>
      </w:r>
      <w:r>
        <w:t xml:space="preserve">ubcontractors </w:t>
      </w:r>
      <w:r>
        <w:t>identified and included in the Contractor’s response to the District’s RFP/RFQ</w:t>
      </w:r>
      <w:r>
        <w:t xml:space="preserve">. Subcontractors awarded construction subcontracts under this </w:t>
      </w:r>
      <w:r>
        <w:t xml:space="preserve">Article </w:t>
      </w:r>
      <w:r>
        <w:lastRenderedPageBreak/>
        <w:t>6.3.2</w:t>
      </w:r>
      <w:r>
        <w:t xml:space="preserve"> shall be afforded all the protections of the Subletting and Subcontracting Fair Pra</w:t>
      </w:r>
      <w:r>
        <w:t>ctices Act (Chapter 4 (commencing with Section 4100) of Part 1 of Division 2 of the Public Contract Code).</w:t>
      </w:r>
    </w:p>
    <w:p w:rsidR="00BC10E2" w:rsidRDefault="009760CB" w:rsidP="00205C13">
      <w:pPr>
        <w:pStyle w:val="Heading4"/>
      </w:pPr>
      <w:r>
        <w:t xml:space="preserve">All MEP Subcontractors must be prequalified as set forth in Article </w:t>
      </w:r>
      <w:r>
        <w:t>1.12</w:t>
      </w:r>
      <w:r>
        <w:t xml:space="preserve"> </w:t>
      </w:r>
      <w:r>
        <w:t>above</w:t>
      </w:r>
      <w:r>
        <w:t>.</w:t>
      </w:r>
    </w:p>
    <w:p w:rsidR="00E4078C" w:rsidRDefault="009760CB" w:rsidP="00BC10E2">
      <w:pPr>
        <w:pStyle w:val="Heading3"/>
      </w:pPr>
      <w:r w:rsidRPr="00CE01E1">
        <w:t>In no case will the Contractor award any subcontracts until the Distr</w:t>
      </w:r>
      <w:r w:rsidRPr="00CE01E1">
        <w:t>ict has concurred to the scope and price of the subcontracted services.</w:t>
      </w:r>
    </w:p>
    <w:p w:rsidR="0086378F" w:rsidRDefault="009760CB" w:rsidP="0086378F">
      <w:pPr>
        <w:pStyle w:val="Heading3"/>
      </w:pPr>
      <w:r w:rsidRPr="0086378F">
        <w:t>All subcontractors (of any tier) performing any portion of the Work must comply with the Labor Code sections 1725.5 and 1771.1 and must be properly and currently registered with the Ca</w:t>
      </w:r>
      <w:r w:rsidRPr="0086378F">
        <w:t>lifornia Department of Industrial Relations and qualified to perform public works pursuant to Labor Code section</w:t>
      </w:r>
      <w:r>
        <w:t xml:space="preserve"> 1725.5 throughout the duration </w:t>
      </w:r>
      <w:r w:rsidRPr="0086378F">
        <w:t>of the Project</w:t>
      </w:r>
      <w:r>
        <w:t>.</w:t>
      </w:r>
    </w:p>
    <w:p w:rsidR="00E4078C" w:rsidRDefault="009760CB">
      <w:pPr>
        <w:pStyle w:val="Heading3"/>
      </w:pPr>
      <w:r>
        <w:t xml:space="preserve">Contractor shall provide the District with full documentation regarding the bids or competitive </w:t>
      </w:r>
      <w:r>
        <w:t>quotes received by Contractor. In no event shall such documentation be redacted or obliterated.  In the event the Contractor does not comply with this provision, the District may terminate this Construction Services Agreement in accordance with the provisi</w:t>
      </w:r>
      <w:r>
        <w:t xml:space="preserve">ons of </w:t>
      </w:r>
      <w:r>
        <w:t>Article</w:t>
      </w:r>
      <w:r>
        <w:t xml:space="preserve"> </w:t>
      </w:r>
      <w:r>
        <w:t>19</w:t>
      </w:r>
      <w:r>
        <w:t xml:space="preserve"> below.</w:t>
      </w:r>
    </w:p>
    <w:p w:rsidR="008D51FD" w:rsidRDefault="009760CB" w:rsidP="00447A21">
      <w:pPr>
        <w:pStyle w:val="Heading3"/>
      </w:pPr>
      <w:r>
        <w:t>Compliance with Disabled Veteran Business Enterprise (DVBE) contracting goals is required under this Construction Services Agreement.  In accordance with Education Code section 17076.11 the District has a DVBE participation goal of</w:t>
      </w:r>
      <w:r>
        <w:t xml:space="preserve"> 3% per year of the overall dollar amount of state funds allocated to the District pursuant to the Leroy F. Greene School Facilities Act of 1998, and expended each year by the District.  The District is seeking DVBE participation under this Construction Se</w:t>
      </w:r>
      <w:r>
        <w:t>rvices Agreement.</w:t>
      </w:r>
      <w:r>
        <w:t xml:space="preserve">  </w:t>
      </w:r>
      <w:r w:rsidRPr="008D51FD">
        <w:t xml:space="preserve">The </w:t>
      </w:r>
      <w:r>
        <w:t xml:space="preserve">Contractor must require </w:t>
      </w:r>
      <w:r>
        <w:t>Subcontractor</w:t>
      </w:r>
      <w:r w:rsidRPr="008D51FD">
        <w:t>s to make a good faith effort to contact and utilize DVBE contractors and suppliers in securing bids for performance of the Project.  Their efforts shall be documented on the DVBE Good Faith Effor</w:t>
      </w:r>
      <w:r w:rsidRPr="008D51FD">
        <w:t xml:space="preserve">t Form attached as Exhibit </w:t>
      </w:r>
      <w:r>
        <w:t>“</w:t>
      </w:r>
      <w:r w:rsidRPr="008D51FD">
        <w:t>C</w:t>
      </w:r>
      <w:r>
        <w:t>”</w:t>
      </w:r>
      <w:r w:rsidRPr="008D51FD">
        <w:t>.</w:t>
      </w:r>
    </w:p>
    <w:p w:rsidR="00E4078C" w:rsidRDefault="009760CB">
      <w:pPr>
        <w:pStyle w:val="Heading1"/>
      </w:pPr>
      <w:bookmarkStart w:id="36" w:name="_Toc256000008"/>
      <w:bookmarkStart w:id="37" w:name="_Toc472525888"/>
      <w:bookmarkStart w:id="38" w:name="_Ref472588671"/>
      <w:bookmarkStart w:id="39" w:name="_Ref472589142"/>
      <w:bookmarkStart w:id="40" w:name="_Ref472589150"/>
      <w:bookmarkStart w:id="41" w:name="_Ref472595469"/>
      <w:r>
        <w:t>SAVINGS AND VALUE ENGINEERING</w:t>
      </w:r>
      <w:bookmarkEnd w:id="36"/>
      <w:bookmarkEnd w:id="37"/>
      <w:bookmarkEnd w:id="38"/>
      <w:bookmarkEnd w:id="39"/>
      <w:bookmarkEnd w:id="40"/>
      <w:bookmarkEnd w:id="41"/>
    </w:p>
    <w:p w:rsidR="00E4078C" w:rsidRDefault="009760CB">
      <w:pPr>
        <w:pStyle w:val="Heading2"/>
      </w:pPr>
      <w:r>
        <w:rPr>
          <w:u w:val="single"/>
        </w:rPr>
        <w:t>General Intent.</w:t>
      </w:r>
      <w:r>
        <w:t xml:space="preserve">  The purpose of Savings is to minimize the expenditure of funds for the construction of the Project on items that exceed the minimum criteria required without a corresponding ben</w:t>
      </w:r>
      <w:r>
        <w:t xml:space="preserve">efit to the District.  The District also wishes to eliminate any excess quality levels or performance criteria provided in the </w:t>
      </w:r>
      <w:r>
        <w:t>C</w:t>
      </w:r>
      <w:r>
        <w:t xml:space="preserve">onstruction </w:t>
      </w:r>
      <w:r>
        <w:t>D</w:t>
      </w:r>
      <w:r>
        <w:t>ocuments so long as such elimination does not alter the design, aesthetics, safety standards or configuration or sp</w:t>
      </w:r>
      <w:r>
        <w:t>ace, and does not increase future maintenance and operation costs.  The District and the Contractor shall work cooperatively with each other, in good faith, to identify appropriate opportunities to reduce the Project costs and promote Savings.  There are t</w:t>
      </w:r>
      <w:r>
        <w:t>wo stages when Savings may be generated.  They are (1) Value Engineering when establishing the GMP and (2) Savings generated through changes</w:t>
      </w:r>
      <w:r>
        <w:t>, reductions,</w:t>
      </w:r>
      <w:r>
        <w:t xml:space="preserve"> or </w:t>
      </w:r>
      <w:r>
        <w:t>Subcontractor</w:t>
      </w:r>
      <w:r>
        <w:t xml:space="preserve"> negotiations that may occur after the GMP is established.</w:t>
      </w:r>
    </w:p>
    <w:p w:rsidR="00E4078C" w:rsidRDefault="009760CB">
      <w:pPr>
        <w:pStyle w:val="Heading3"/>
      </w:pPr>
      <w:r>
        <w:rPr>
          <w:i/>
        </w:rPr>
        <w:t>Value Engineering</w:t>
      </w:r>
      <w:r>
        <w:t xml:space="preserve"> is a review of systems so excess quality, unnecessary design elements, reconfiguration for efficiency, or other changes may be made to reduce the cost of a project.  Sometimes, timing and sequences or re-use of materials that are unique to a project or ar</w:t>
      </w:r>
      <w:r>
        <w:t>ea may generate savings.  For example, if export soil is generated on a site which may have a substantial cost for transportation and removal could be sold to offset the costs incurred then a savings may be generated for the Project.  Similarly, if concret</w:t>
      </w:r>
      <w:r>
        <w:t>e is ground, it may be sold for aggregate rather than as demolished construction materials.</w:t>
      </w:r>
    </w:p>
    <w:p w:rsidR="00E4078C" w:rsidRDefault="009760CB">
      <w:pPr>
        <w:pStyle w:val="Heading3"/>
      </w:pPr>
      <w:r>
        <w:rPr>
          <w:i/>
        </w:rPr>
        <w:lastRenderedPageBreak/>
        <w:t>Other Savings</w:t>
      </w:r>
      <w:r>
        <w:t xml:space="preserve"> generated over the course of the Project through </w:t>
      </w:r>
      <w:r>
        <w:t>Subcontractor</w:t>
      </w:r>
      <w:r>
        <w:t xml:space="preserve"> negotiations, replacement of </w:t>
      </w:r>
      <w:r>
        <w:t>Subcontractor</w:t>
      </w:r>
      <w:r>
        <w:t>s, or through other means shall be calculated</w:t>
      </w:r>
      <w:r>
        <w:t xml:space="preserve"> as part of the overall costs for the Project as part of the “Open Accounting” of the Project and shall be counted towards Project Savings.</w:t>
      </w:r>
    </w:p>
    <w:p w:rsidR="00E4078C" w:rsidRDefault="009760CB" w:rsidP="005326EB">
      <w:pPr>
        <w:pStyle w:val="Heading2"/>
      </w:pPr>
      <w:r>
        <w:rPr>
          <w:u w:val="single"/>
        </w:rPr>
        <w:t xml:space="preserve">Sharing and Calculation for </w:t>
      </w:r>
      <w:r>
        <w:rPr>
          <w:u w:val="single"/>
        </w:rPr>
        <w:t>Return of Savings.</w:t>
      </w:r>
      <w:r>
        <w:t xml:space="preserve">  If Contractor realizes a Savings on an aspect of the Project, including but not limited to, Value Engineering or other Savings after the GMP is established and after execution of this Construction Services Agreement, such Savings shall be</w:t>
      </w:r>
      <w:r w:rsidRPr="005326EB">
        <w:t xml:space="preserve"> divided in the </w:t>
      </w:r>
      <w:r w:rsidRPr="005326EB">
        <w:t>following proportion: Seventy Five Percent (75%) of any Savings shall be returned to the District and Twenty Five Percent (25%) of any Savings shall be returned to the Contractor.  Calculation of Savings shall be determined by adding all expenses for the P</w:t>
      </w:r>
      <w:r w:rsidRPr="005326EB">
        <w:t xml:space="preserve">roject (excluding Change Orders and Owner and </w:t>
      </w:r>
      <w:r>
        <w:t>Construction Contingency</w:t>
      </w:r>
      <w:r w:rsidRPr="005326EB">
        <w:t xml:space="preserve"> Expenses), separating out overhead costs and either using the actual overhead costs, or the percentage set for overhead in the Article </w:t>
      </w:r>
      <w:r>
        <w:t>5.3</w:t>
      </w:r>
      <w:r w:rsidRPr="005326EB">
        <w:t>, whichever is higher an applying the percentag</w:t>
      </w:r>
      <w:r w:rsidRPr="005326EB">
        <w:t xml:space="preserve">e for profit against the GMP (less Change orders, Owner and </w:t>
      </w:r>
      <w:r>
        <w:t>Construction Contingency</w:t>
      </w:r>
      <w:r w:rsidRPr="005326EB">
        <w:t>).  Any remaining money shall be considered Savings.  If the Project expenses exceed the GMP, then there are no Savings for the Project and the GMP shall apply.  A separate</w:t>
      </w:r>
      <w:r w:rsidRPr="005326EB">
        <w:t xml:space="preserve"> calculation of whether there are savings associated with Change Orders under the Owner and </w:t>
      </w:r>
      <w:r>
        <w:t>Construction Contingency</w:t>
      </w:r>
      <w:r w:rsidRPr="005326EB">
        <w:t xml:space="preserve"> may be performed to determine if there are any savings that remain on these areas and applied to the overall savings calculation</w:t>
      </w:r>
    </w:p>
    <w:p w:rsidR="00E4078C" w:rsidRDefault="009760CB">
      <w:pPr>
        <w:pStyle w:val="Heading2"/>
      </w:pPr>
      <w:r>
        <w:rPr>
          <w:u w:val="single"/>
        </w:rPr>
        <w:t>Savings De</w:t>
      </w:r>
      <w:r>
        <w:rPr>
          <w:u w:val="single"/>
        </w:rPr>
        <w:t xml:space="preserve">termined Through Audit. </w:t>
      </w:r>
      <w:r>
        <w:t xml:space="preserve"> District may, at its own costs, have an audit conducted of the </w:t>
      </w:r>
      <w:r>
        <w:t>Project</w:t>
      </w:r>
      <w:r>
        <w:t xml:space="preserve"> related job costs to determine Savings as further outlined in Article </w:t>
      </w:r>
      <w:r>
        <w:t>21</w:t>
      </w:r>
      <w:r>
        <w:t xml:space="preserve">.  </w:t>
      </w:r>
    </w:p>
    <w:p w:rsidR="00E4078C" w:rsidRDefault="009760CB">
      <w:pPr>
        <w:pStyle w:val="Heading1"/>
      </w:pPr>
      <w:bookmarkStart w:id="42" w:name="_Toc256000009"/>
      <w:bookmarkStart w:id="43" w:name="_Toc472525889"/>
      <w:bookmarkStart w:id="44" w:name="_Ref472589065"/>
      <w:r>
        <w:rPr>
          <w:caps w:val="0"/>
        </w:rPr>
        <w:t>DISTRICT CONTINGENCY</w:t>
      </w:r>
      <w:bookmarkEnd w:id="42"/>
      <w:bookmarkEnd w:id="43"/>
      <w:bookmarkEnd w:id="44"/>
    </w:p>
    <w:p w:rsidR="00E4078C" w:rsidRDefault="009760CB">
      <w:pPr>
        <w:pStyle w:val="Heading2"/>
      </w:pPr>
      <w:r>
        <w:t>The District Contingency is an allowance for use by the Distric</w:t>
      </w:r>
      <w:r>
        <w:t>t that can be used to pay the Contractor to perform additional services (“Additional Services”) not described in this Construction Services Agreement. This District Contingency is outside of the GMP, is not part of the original bond, except to the extent t</w:t>
      </w:r>
      <w:r>
        <w:t xml:space="preserve">hat District contingency is utilized as a Change to the Contract under Article </w:t>
      </w:r>
      <w:r>
        <w:t>17</w:t>
      </w:r>
      <w:r>
        <w:t>, and may be used for Owner requested additions, revisions to the Project, moving furniture or equipment, and other District unforeseen items.  Contractor shall provide a cost</w:t>
      </w:r>
      <w:r>
        <w:t xml:space="preserve"> estimate and a written description of the Additional Services required to perform such work. The District shall set aside a contingency amount outside the GMP, defined at Article </w:t>
      </w:r>
      <w:r>
        <w:t>5</w:t>
      </w:r>
      <w:r>
        <w:t xml:space="preserve"> (“District Contingency”)</w:t>
      </w:r>
      <w:r>
        <w:t xml:space="preserve"> in the amount set forth at Article 3</w:t>
      </w:r>
      <w:r>
        <w:t>, which Distr</w:t>
      </w:r>
      <w:r>
        <w:t>ict Contingency shall be used for such Additional Services.  Compensation for such Additional Services shall be negotiated and agreed upon in writing, in advance of Contractor’s performing or contracting for such Additional Services.    Nothing in this Con</w:t>
      </w:r>
      <w:r>
        <w:t xml:space="preserve">struction Services Agreement shall be construed as limiting the valuation and amount to be paid to Contractor for such Additional Services or its implementation should a written agreement for such services be executed.  Contractor shall not be entitled to </w:t>
      </w:r>
      <w:r>
        <w:t>compensation for Additional Services required as a result of Contractor’s acts, errors or omissions.  Further any Architectural Errors and Omissions shall not come out of District Contingency</w:t>
      </w:r>
      <w:r>
        <w:t xml:space="preserve"> unless agreed upon</w:t>
      </w:r>
      <w:r>
        <w:t xml:space="preserve"> in writing</w:t>
      </w:r>
      <w:r>
        <w:t xml:space="preserve"> by the District in its sole discre</w:t>
      </w:r>
      <w:r>
        <w:t>tion</w:t>
      </w:r>
      <w:r>
        <w:t xml:space="preserve">. </w:t>
      </w:r>
    </w:p>
    <w:p w:rsidR="00E4078C" w:rsidRDefault="009760CB">
      <w:pPr>
        <w:pStyle w:val="Heading2"/>
      </w:pPr>
      <w:r>
        <w:t xml:space="preserve">Additionally, while District is in no way limited by the manner in which it decides to utilize the District Contingency, said District Contingency shall not be used for any costs associated with errors or omissions in the </w:t>
      </w:r>
      <w:r>
        <w:t>Construction Documents</w:t>
      </w:r>
      <w:r>
        <w:t xml:space="preserve"> unti</w:t>
      </w:r>
      <w:r>
        <w:t xml:space="preserve">l such time, if ever, the Errors and Omissions </w:t>
      </w:r>
      <w:r>
        <w:t>Contingency</w:t>
      </w:r>
      <w:r>
        <w:t xml:space="preserve"> has been fully exhausted</w:t>
      </w:r>
      <w:r>
        <w:t xml:space="preserve">.  Any funds remaining in the District Contingency at the completion of the Project shall remain unspent and remain allocated to the District.   </w:t>
      </w:r>
    </w:p>
    <w:p w:rsidR="00E4078C" w:rsidRDefault="009760CB">
      <w:pPr>
        <w:pStyle w:val="Heading1"/>
      </w:pPr>
      <w:bookmarkStart w:id="45" w:name="_Toc256000010"/>
      <w:bookmarkStart w:id="46" w:name="_Toc472525890"/>
      <w:bookmarkStart w:id="47" w:name="_Ref472588186"/>
      <w:bookmarkStart w:id="48" w:name="_Ref472589116"/>
      <w:bookmarkStart w:id="49" w:name="_Ref472589121"/>
      <w:bookmarkStart w:id="50" w:name="_Ref472589538"/>
      <w:bookmarkStart w:id="51" w:name="_Ref472589598"/>
      <w:bookmarkStart w:id="52" w:name="_Ref472595177"/>
      <w:bookmarkStart w:id="53" w:name="_Ref472595321"/>
      <w:bookmarkStart w:id="54" w:name="_Ref472595328"/>
      <w:bookmarkStart w:id="55" w:name="_Ref472595333"/>
      <w:bookmarkStart w:id="56" w:name="_Ref472595376"/>
      <w:bookmarkStart w:id="57" w:name="_Ref472595413"/>
      <w:bookmarkStart w:id="58" w:name="_Ref472595806"/>
      <w:bookmarkStart w:id="59" w:name="_Ref472596520"/>
      <w:bookmarkStart w:id="60" w:name="_Ref472596717"/>
      <w:r>
        <w:t>SCHEDULE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E4078C" w:rsidRDefault="009760CB">
      <w:pPr>
        <w:pStyle w:val="Heading2"/>
      </w:pPr>
      <w:r>
        <w:rPr>
          <w:u w:val="single"/>
        </w:rPr>
        <w:t>Contract Time:</w:t>
      </w:r>
      <w:r>
        <w:t xml:space="preserve">  Co</w:t>
      </w:r>
      <w:r>
        <w:t xml:space="preserve">ntractor shall perform and reach Substantial Completion (See Article </w:t>
      </w:r>
      <w:r>
        <w:t>4.45</w:t>
      </w:r>
      <w:r>
        <w:t>) within the time specified in the Agreement. Moreover, Contractor shall proceed on a properly developed and approved CPM Master Baseline Schedule, which represents the Contractor’s v</w:t>
      </w:r>
      <w:r>
        <w:t xml:space="preserve">iew of the practical way in which the Work will be accomplished. Note that Contract Time includes </w:t>
      </w:r>
      <w:r>
        <w:lastRenderedPageBreak/>
        <w:t xml:space="preserve">and incorporates all Float and other Baseline inclusions as noted in Article </w:t>
      </w:r>
      <w:r>
        <w:t>9.3</w:t>
      </w:r>
      <w:r>
        <w:t xml:space="preserve"> and as otherwise specifically noted in Article</w:t>
      </w:r>
      <w:r>
        <w:t xml:space="preserve"> 9</w:t>
      </w:r>
    </w:p>
    <w:p w:rsidR="00E4078C" w:rsidRDefault="009760CB" w:rsidP="009D00A5">
      <w:pPr>
        <w:pStyle w:val="Heading2"/>
      </w:pPr>
      <w:bookmarkStart w:id="61" w:name="_Ref472588235"/>
      <w:r>
        <w:rPr>
          <w:u w:val="single"/>
        </w:rPr>
        <w:t>Float</w:t>
      </w:r>
      <w:r>
        <w:t xml:space="preserve"> is the total number of</w:t>
      </w:r>
      <w:r>
        <w:t xml:space="preserve"> days an activity may be extended or delayed without delaying the Completion Date shown in the schedule.  Float will fall into three categories: (1) Rain Day</w:t>
      </w:r>
      <w:r>
        <w:t>s; (2) Governmental Delays; and</w:t>
      </w:r>
      <w:r>
        <w:t xml:space="preserve"> (3) Project Float.  Project Float and Rain Days are owned by the Pr</w:t>
      </w:r>
      <w:r>
        <w:t>oject</w:t>
      </w:r>
      <w:r>
        <w:t xml:space="preserve"> </w:t>
      </w:r>
      <w:r w:rsidRPr="009D00A5">
        <w:t xml:space="preserve">and require </w:t>
      </w:r>
      <w:r>
        <w:t>District approval prior to bein</w:t>
      </w:r>
      <w:r w:rsidRPr="009D00A5">
        <w:t>g</w:t>
      </w:r>
      <w:r>
        <w:t xml:space="preserve"> utilized for critical path delays once the days become available for consumption (i.e. the rain day arrives and is not utilized since rain did not occur or Work was performed on the interior of a building)</w:t>
      </w:r>
      <w:r>
        <w:t>.  However, Governmental Delay float shall not be utilized for purposes other than to address critical path delays that arise due to approvals, Inspector approvals or verifications on governmental forms.</w:t>
      </w:r>
      <w:bookmarkEnd w:id="61"/>
    </w:p>
    <w:p w:rsidR="00E4078C" w:rsidRDefault="009760CB">
      <w:pPr>
        <w:pStyle w:val="Heading3"/>
      </w:pPr>
      <w:bookmarkStart w:id="62" w:name="_Ref472594977"/>
      <w:r>
        <w:rPr>
          <w:i/>
        </w:rPr>
        <w:t>Governmental Delay Float</w:t>
      </w:r>
      <w:r>
        <w:t xml:space="preserve">.  Given DSA requirements for submission and approval of CCD’s prior to a DSA Form 152 sign off on areas of Work that deviate from approved </w:t>
      </w:r>
      <w:r>
        <w:t>Construction Documents</w:t>
      </w:r>
      <w:r>
        <w:t xml:space="preserve">, and the anticipated delays that may arise from this CCD procedure, no less than </w:t>
      </w:r>
      <w:r w:rsidRPr="00CE145A">
        <w:t>twe</w:t>
      </w:r>
      <w:r w:rsidRPr="00CE145A">
        <w:t>lve</w:t>
      </w:r>
      <w:r w:rsidRPr="00CE145A">
        <w:t xml:space="preserve"> (</w:t>
      </w:r>
      <w:r w:rsidRPr="00CE145A">
        <w:t>12</w:t>
      </w:r>
      <w:r w:rsidRPr="00CE145A">
        <w:t xml:space="preserve">) </w:t>
      </w:r>
      <w:r w:rsidRPr="00CE145A">
        <w:t xml:space="preserve">days per calendar year shall be set aside as Governmental Float to be utilized on critical path delays.  A pro-rated number of days shall be calculated based on length of Contract Time.  (For example, a two (2) year Contract Time shall require </w:t>
      </w:r>
      <w:r w:rsidRPr="00CE145A">
        <w:t>twen</w:t>
      </w:r>
      <w:r w:rsidRPr="00CE145A">
        <w:t>ty</w:t>
      </w:r>
      <w:r w:rsidRPr="00CE145A">
        <w:t>-four</w:t>
      </w:r>
      <w:r w:rsidRPr="00CE145A">
        <w:t xml:space="preserve"> </w:t>
      </w:r>
      <w:r w:rsidRPr="00CE145A">
        <w:t>(</w:t>
      </w:r>
      <w:r w:rsidRPr="00CE145A">
        <w:t>24</w:t>
      </w:r>
      <w:r w:rsidRPr="00CE145A">
        <w:t xml:space="preserve">) days of Governmental Float.  If the Contract Time is 182 days, then the Contract Time shall require </w:t>
      </w:r>
      <w:r w:rsidRPr="00CE145A">
        <w:t>six (6</w:t>
      </w:r>
      <w:r w:rsidRPr="00CE145A">
        <w:t>) days of Governmental Float)  This Governmental Delay float must be incorporated into the schedule and should be incorporated in each critical a</w:t>
      </w:r>
      <w:r w:rsidRPr="00CE145A">
        <w:t xml:space="preserve">ctivity as Contractor deems fit.  Specifically, major categories of Work under the DSA 152 (Project Inspection Card) should be allocated Governmental Delay Float at the Contractor’s discretion.  Governmental Delay Float on the Project may exceed </w:t>
      </w:r>
      <w:r w:rsidRPr="00CE145A">
        <w:t>12</w:t>
      </w:r>
      <w:r w:rsidRPr="00CE145A">
        <w:t xml:space="preserve"> days pe</w:t>
      </w:r>
      <w:r w:rsidRPr="00CE145A">
        <w:t xml:space="preserve">r one (1) year period, but Contractor is required to include not be less than </w:t>
      </w:r>
      <w:r w:rsidRPr="00CE145A">
        <w:t>12</w:t>
      </w:r>
      <w:r w:rsidRPr="00CE145A">
        <w:t xml:space="preserve"> days of Governmental Delay Float during each one (1)</w:t>
      </w:r>
      <w:r>
        <w:t xml:space="preserve"> year period.</w:t>
      </w:r>
      <w:r>
        <w:t xml:space="preserve">  </w:t>
      </w:r>
      <w:bookmarkEnd w:id="62"/>
    </w:p>
    <w:p w:rsidR="00E4078C" w:rsidRDefault="009760CB" w:rsidP="00624F61">
      <w:pPr>
        <w:pStyle w:val="Heading3"/>
      </w:pPr>
      <w:r>
        <w:rPr>
          <w:i/>
        </w:rPr>
        <w:t>Inclement Weather (Rain Days).</w:t>
      </w:r>
      <w:r>
        <w:t xml:space="preserve">  The Contractor will only be allowed a time extension for unusually severe w</w:t>
      </w:r>
      <w:r>
        <w:t xml:space="preserve">eather if it results in precipitation or other conditions which in the amount, frequency, or duration is in excess of the norm at the location and time of year in question as established by </w:t>
      </w:r>
      <w:r w:rsidRPr="00624F61">
        <w:t xml:space="preserve">the National Oceanic and Atmospheric Administration </w:t>
      </w:r>
      <w:r>
        <w:t>(</w:t>
      </w:r>
      <w:r>
        <w:t>NOAA</w:t>
      </w:r>
      <w:r>
        <w:t>)</w:t>
      </w:r>
      <w:r>
        <w:t xml:space="preserve"> weather</w:t>
      </w:r>
      <w:r>
        <w:t xml:space="preserve"> data. </w:t>
      </w:r>
      <w:r w:rsidRPr="000F1A53">
        <w:t xml:space="preserve">No less than 22 calendar days for each Calendar year for </w:t>
      </w:r>
      <w:r>
        <w:t>Northern</w:t>
      </w:r>
      <w:r w:rsidRPr="000F1A53">
        <w:t xml:space="preserve"> </w:t>
      </w:r>
      <w:r w:rsidRPr="000F1A53">
        <w:t xml:space="preserve">California.  The NOAA weather related days (22 days in </w:t>
      </w:r>
      <w:r>
        <w:t>Northern</w:t>
      </w:r>
      <w:r w:rsidRPr="000F1A53">
        <w:t xml:space="preserve"> </w:t>
      </w:r>
      <w:r w:rsidRPr="000F1A53">
        <w:t>California)</w:t>
      </w:r>
      <w:r w:rsidRPr="002C1BF9">
        <w:t xml:space="preserve"> shall be set asi</w:t>
      </w:r>
      <w:r>
        <w:t>de as float within the Baseline Schedule.   Additional days beyond the NOAA shall be consid</w:t>
      </w:r>
      <w:r>
        <w:t>ered under the same criteria that weather days are granted below.</w:t>
      </w:r>
    </w:p>
    <w:p w:rsidR="00E4078C" w:rsidRDefault="009760CB">
      <w:pPr>
        <w:pStyle w:val="Heading3"/>
      </w:pPr>
      <w:r>
        <w:rPr>
          <w:i/>
        </w:rPr>
        <w:t>Granting of Days beyond those Anticipated.</w:t>
      </w:r>
      <w:r>
        <w:t xml:space="preserve">  A Rain Day shall be granted by Architect or CM if the weather prevents the Contractor from beginning Work at the usual daily starting time, or pre</w:t>
      </w:r>
      <w:r>
        <w:t>vents the Contractor from proceeding with seventy-five (75%) of the normal labor and equipment force towards completion of the day’s current controlling item on the accepted schedule for a period of at least five hours, and the crew is dismissed as a resul</w:t>
      </w:r>
      <w:r>
        <w:t>t thereof, the Architect will designate such time as unavoidable delay and grant one (1) critical path activity calendar-day extension if there is no available float for the calendar year.</w:t>
      </w:r>
    </w:p>
    <w:p w:rsidR="00E4078C" w:rsidRDefault="009760CB">
      <w:pPr>
        <w:pStyle w:val="Heading3"/>
      </w:pPr>
      <w:r>
        <w:rPr>
          <w:i/>
        </w:rPr>
        <w:t>Project Float</w:t>
      </w:r>
      <w:r>
        <w:t xml:space="preserve"> is all remaining float, including extra days included</w:t>
      </w:r>
      <w:r>
        <w:t xml:space="preserve"> in a particular activity.</w:t>
      </w:r>
    </w:p>
    <w:p w:rsidR="00E4078C" w:rsidRDefault="009760CB">
      <w:pPr>
        <w:pStyle w:val="Heading2"/>
      </w:pPr>
      <w:bookmarkStart w:id="63" w:name="_Ref472588336"/>
      <w:r>
        <w:rPr>
          <w:u w:val="single"/>
        </w:rPr>
        <w:t>Inclusions in Baseline.</w:t>
      </w:r>
      <w:r>
        <w:t xml:space="preserve"> In addition to Scheduling requirements set forth at Article </w:t>
      </w:r>
      <w:r>
        <w:t>9</w:t>
      </w:r>
      <w:r>
        <w:t>, Contractor is specifically directed to include in Contractor’s Baseline Schedule and all Schedule updates that provide for the following items</w:t>
      </w:r>
      <w:r>
        <w:t xml:space="preserve"> required pursuant to this CSA, including but not limited to:</w:t>
      </w:r>
      <w:bookmarkEnd w:id="63"/>
    </w:p>
    <w:p w:rsidR="00E4078C" w:rsidRDefault="009760CB">
      <w:pPr>
        <w:pStyle w:val="Heading3"/>
      </w:pPr>
      <w:r>
        <w:rPr>
          <w:i/>
        </w:rPr>
        <w:t>Rain Day Float (excluding inclement weather) as required under Article 9.2.2.</w:t>
      </w:r>
      <w:r>
        <w:t xml:space="preserve">  For example, if the NOAA provides 22 days of rain days, all 22 days must be incorporated </w:t>
      </w:r>
      <w:r>
        <w:lastRenderedPageBreak/>
        <w:t>and noted in the schedule.</w:t>
      </w:r>
      <w:r>
        <w:t xml:space="preserve">  Further, any days required to clean-up or dry out shall be included for operations that are likely to require a clean-up or dry out period.  Days that are not utilized shall be considered float owned by the Project.</w:t>
      </w:r>
    </w:p>
    <w:p w:rsidR="00E4078C" w:rsidRDefault="009760CB">
      <w:pPr>
        <w:pStyle w:val="Heading3"/>
      </w:pPr>
      <w:r>
        <w:rPr>
          <w:i/>
        </w:rPr>
        <w:t>Governmental Delay Float under Article</w:t>
      </w:r>
      <w:r>
        <w:rPr>
          <w:i/>
        </w:rPr>
        <w:t xml:space="preserve"> 9.2.1. </w:t>
      </w:r>
      <w:r>
        <w:t xml:space="preserve"> This Governmental Delay Float shall only be utilized for Governmental Delays and shall not be considered available float owned by the Project.  This float shall be distributed to the Project </w:t>
      </w:r>
      <w:r>
        <w:t>as grant</w:t>
      </w:r>
      <w:r>
        <w:t>ed and approved by the District</w:t>
      </w:r>
      <w:r>
        <w:t xml:space="preserve"> </w:t>
      </w:r>
      <w:r>
        <w:t>and shall be use</w:t>
      </w:r>
      <w:r>
        <w:t>d to offset liquidated damages for overstaying the Lease</w:t>
      </w:r>
      <w:r>
        <w:t>,</w:t>
      </w:r>
      <w:r>
        <w:t xml:space="preserve"> and shall not generate compensable delays.</w:t>
      </w:r>
    </w:p>
    <w:p w:rsidR="00E4078C" w:rsidRDefault="009760CB">
      <w:pPr>
        <w:pStyle w:val="Heading3"/>
      </w:pPr>
      <w:r>
        <w:t xml:space="preserve">Submittal and Shop drawing schedule under Article </w:t>
      </w:r>
      <w:r>
        <w:t>9.6</w:t>
      </w:r>
      <w:r>
        <w:t xml:space="preserve"> and </w:t>
      </w:r>
      <w:r>
        <w:t>15.6</w:t>
      </w:r>
      <w:r>
        <w:t>.</w:t>
      </w:r>
    </w:p>
    <w:p w:rsidR="00E4078C" w:rsidRDefault="009760CB">
      <w:pPr>
        <w:pStyle w:val="Heading3"/>
      </w:pPr>
      <w:r>
        <w:t xml:space="preserve">Deferred Approvals under Article </w:t>
      </w:r>
      <w:r>
        <w:t>15.3</w:t>
      </w:r>
      <w:r>
        <w:t xml:space="preserve"> and </w:t>
      </w:r>
      <w:r>
        <w:t>15.6</w:t>
      </w:r>
    </w:p>
    <w:p w:rsidR="00E4078C" w:rsidRDefault="009760CB">
      <w:pPr>
        <w:pStyle w:val="Heading3"/>
      </w:pPr>
      <w:r>
        <w:t xml:space="preserve">Time for separate contractors, including furniture installation and start up activities, under Article </w:t>
      </w:r>
      <w:r>
        <w:t>32</w:t>
      </w:r>
      <w:r>
        <w:t>.</w:t>
      </w:r>
    </w:p>
    <w:p w:rsidR="00E4078C" w:rsidRDefault="009760CB">
      <w:pPr>
        <w:pStyle w:val="Heading3"/>
      </w:pPr>
      <w:r>
        <w:t xml:space="preserve">Coordination and timing of any drawings, approvals, notifications, permitting, connection, and testing for all utilities for the Project.  Article </w:t>
      </w:r>
      <w:r>
        <w:t>13</w:t>
      </w:r>
      <w:r>
        <w:t>.15.2</w:t>
      </w:r>
      <w:r>
        <w:t xml:space="preserve"> </w:t>
      </w:r>
      <w:r>
        <w:t>.</w:t>
      </w:r>
    </w:p>
    <w:p w:rsidR="00E4078C" w:rsidRDefault="009760CB">
      <w:pPr>
        <w:pStyle w:val="Heading3"/>
      </w:pPr>
      <w:r>
        <w:t xml:space="preserve">Testing, special events, or </w:t>
      </w:r>
      <w:r>
        <w:t>District</w:t>
      </w:r>
      <w:r>
        <w:t xml:space="preserve"> activities. </w:t>
      </w:r>
    </w:p>
    <w:p w:rsidR="00E4078C" w:rsidRDefault="009760CB" w:rsidP="00AF47D6">
      <w:pPr>
        <w:pStyle w:val="Heading2"/>
      </w:pPr>
      <w:r>
        <w:rPr>
          <w:u w:val="single"/>
        </w:rPr>
        <w:t>Schedule Updates</w:t>
      </w:r>
      <w:r w:rsidRPr="009D00A5">
        <w:t>.</w:t>
      </w:r>
      <w:r>
        <w:t xml:space="preserve">  </w:t>
      </w:r>
      <w:r>
        <w:t>Contractor shall update the schedule</w:t>
      </w:r>
      <w:r>
        <w:t xml:space="preserve"> (including a narrative)</w:t>
      </w:r>
      <w:r>
        <w:t xml:space="preserve"> each month to address actual start dates and durations, the percent complete on activities, actual completion dates, e</w:t>
      </w:r>
      <w:r>
        <w:t xml:space="preserve">stimated remaining duration for the Work in progress, </w:t>
      </w:r>
      <w:r>
        <w:t>a</w:t>
      </w:r>
      <w:r w:rsidRPr="00AF47D6">
        <w:t xml:space="preserve">reas of </w:t>
      </w:r>
      <w:r>
        <w:t>p</w:t>
      </w:r>
      <w:r w:rsidRPr="00AF47D6">
        <w:t xml:space="preserve">rogress, </w:t>
      </w:r>
      <w:r>
        <w:t>l</w:t>
      </w:r>
      <w:r w:rsidRPr="00AF47D6">
        <w:t xml:space="preserve">ogic and </w:t>
      </w:r>
      <w:r>
        <w:t>d</w:t>
      </w:r>
      <w:r w:rsidRPr="00AF47D6">
        <w:t>urations, overall assessment of schedule achievement</w:t>
      </w:r>
      <w:r>
        <w:t>,</w:t>
      </w:r>
      <w:r w:rsidRPr="00AF47D6">
        <w:t xml:space="preserve"> </w:t>
      </w:r>
      <w:r>
        <w:t>estimated start dates for Work scheduled to start at future times and changes in duration of Work items</w:t>
      </w:r>
      <w:r>
        <w:t>.</w:t>
      </w:r>
    </w:p>
    <w:p w:rsidR="00E4078C" w:rsidRDefault="009760CB">
      <w:pPr>
        <w:pStyle w:val="Heading3"/>
      </w:pPr>
      <w:r>
        <w:rPr>
          <w:i/>
        </w:rPr>
        <w:t>Listing of It</w:t>
      </w:r>
      <w:r>
        <w:rPr>
          <w:i/>
        </w:rPr>
        <w:t>ems Causing Delays.</w:t>
      </w:r>
      <w:r>
        <w:t xml:space="preserve">  Schedule Updates shall provide a listing of activities which are causing delay in the progress of Work and a narrative shall be provided showing a description of problem areas, anticipated delays, and impacts on the Construction Schedu</w:t>
      </w:r>
      <w:r>
        <w:t xml:space="preserve">le.  Simply stating “District Delay” or “Architect Delay” shall be an inadequate listing.  </w:t>
      </w:r>
    </w:p>
    <w:p w:rsidR="00E4078C" w:rsidRDefault="009760CB">
      <w:pPr>
        <w:pStyle w:val="Heading3"/>
      </w:pPr>
      <w:r>
        <w:rPr>
          <w:i/>
        </w:rPr>
        <w:t xml:space="preserve">Recovery Schedule.  </w:t>
      </w:r>
      <w:r>
        <w:t>In addition to providing a schedule update every thirty (30) days, the Contractor, shall take the steps necessary to improve Contractor’s progre</w:t>
      </w:r>
      <w:r>
        <w:t>ss and demonstrate to the District and Architect that the Contractor has seriously considered how the lost time, the Completion Date, or the milestones that are required to be met within the terms of the Contract.  Contractor shall provide a Recovery Sched</w:t>
      </w:r>
      <w:r>
        <w:t xml:space="preserve">ule showing how Milestones and the Completion Date will be met.  </w:t>
      </w:r>
    </w:p>
    <w:p w:rsidR="00E4078C" w:rsidRDefault="009760CB">
      <w:pPr>
        <w:pStyle w:val="Heading4"/>
      </w:pPr>
      <w:r>
        <w:rPr>
          <w:u w:val="single"/>
        </w:rPr>
        <w:t>Failure to Provide a Recovery Schedule.</w:t>
      </w:r>
      <w:r>
        <w:t xml:space="preserve">  Shall subject Contractor to the assessment of Liquidated Damages for failure to meet the Contract Time. </w:t>
      </w:r>
    </w:p>
    <w:p w:rsidR="00E4078C" w:rsidRDefault="009760CB">
      <w:pPr>
        <w:pStyle w:val="Heading2"/>
      </w:pPr>
      <w:r>
        <w:rPr>
          <w:u w:val="single"/>
        </w:rPr>
        <w:t xml:space="preserve">Time of the Essence.  </w:t>
      </w:r>
      <w:r>
        <w:t xml:space="preserve">Time limits stated in </w:t>
      </w:r>
      <w:r>
        <w:t>the Contract Documents are of the essence to the Contract.  By executing the Agreement, the Contractor confirms that the Contract Time is a reasonable period for performing the Work</w:t>
      </w:r>
    </w:p>
    <w:p w:rsidR="00E4078C" w:rsidRDefault="009760CB">
      <w:pPr>
        <w:pStyle w:val="Heading2"/>
      </w:pPr>
      <w:bookmarkStart w:id="64" w:name="_Ref472589662"/>
      <w:r>
        <w:rPr>
          <w:u w:val="single"/>
        </w:rPr>
        <w:t>Time for Preparing Submittals Must Be Incorporated in Schedule</w:t>
      </w:r>
      <w:r>
        <w:t>:  Contracto</w:t>
      </w:r>
      <w:r>
        <w:t>r shall include Submittals as line items in the Baseline Schedule.  Time for preparing and coordinating Submittals shall not delay the Work, Milestones, or the Completion Date</w:t>
      </w:r>
      <w:r>
        <w:t xml:space="preserve">, and shall be in conformance with Article </w:t>
      </w:r>
      <w:r>
        <w:t>15.6</w:t>
      </w:r>
      <w:r>
        <w:t>.</w:t>
      </w:r>
      <w:bookmarkEnd w:id="64"/>
    </w:p>
    <w:p w:rsidR="00E4078C" w:rsidRDefault="009760CB">
      <w:pPr>
        <w:pStyle w:val="Heading1"/>
      </w:pPr>
      <w:bookmarkStart w:id="65" w:name="_Toc256000011"/>
      <w:bookmarkStart w:id="66" w:name="_Toc472525891"/>
      <w:bookmarkStart w:id="67" w:name="_Ref472594960"/>
      <w:r>
        <w:lastRenderedPageBreak/>
        <w:t xml:space="preserve">INSPECTION OF WORK/ INSPECTOR </w:t>
      </w:r>
      <w:r>
        <w:t>AND ARCHITECT</w:t>
      </w:r>
      <w:bookmarkEnd w:id="65"/>
      <w:bookmarkEnd w:id="66"/>
      <w:bookmarkEnd w:id="67"/>
    </w:p>
    <w:p w:rsidR="00E4078C" w:rsidRDefault="009760CB">
      <w:pPr>
        <w:pStyle w:val="Heading2"/>
      </w:pPr>
      <w:r>
        <w:rPr>
          <w:u w:val="single"/>
        </w:rPr>
        <w:t>Inspection of Work/Inspector</w:t>
      </w:r>
      <w:r>
        <w:t>.  The District shall hire its own Division of State Architect Inspector as required by law.  District, District’s Representatives, and the Division of the State Architect shall at all times have access to the work</w:t>
      </w:r>
      <w:r>
        <w:t xml:space="preserve"> whether it is in preparation or progress, and Contractor shall provide proper facilities for such access and for inspection.</w:t>
      </w:r>
    </w:p>
    <w:p w:rsidR="00E4078C" w:rsidRDefault="009760CB">
      <w:pPr>
        <w:pStyle w:val="Heading3"/>
      </w:pPr>
      <w:r>
        <w:rPr>
          <w:i/>
        </w:rPr>
        <w:t>General</w:t>
      </w:r>
      <w:r>
        <w:t>.  One or more P</w:t>
      </w:r>
      <w:r>
        <w:t xml:space="preserve">roject </w:t>
      </w:r>
      <w:r>
        <w:t>I</w:t>
      </w:r>
      <w:r>
        <w:t>nspectors employed by the District and approved by the Division of the State Architect will be assi</w:t>
      </w:r>
      <w:r>
        <w:t>gned to the Work in accordance with the requirements of Title 24 of the California Code of Regulations.  The Inspector(s) duties are as specifically defined in Title 24 Section 4-333 and 4-342 and in DSA IR A-8.</w:t>
      </w:r>
    </w:p>
    <w:p w:rsidR="00E4078C" w:rsidRDefault="009760CB">
      <w:pPr>
        <w:pStyle w:val="Heading3"/>
      </w:pPr>
      <w:r>
        <w:rPr>
          <w:i/>
        </w:rPr>
        <w:t>Inspector’s Duties and DSA Noted Timelines f</w:t>
      </w:r>
      <w:r>
        <w:rPr>
          <w:i/>
        </w:rPr>
        <w:t>or Inspection</w:t>
      </w:r>
      <w:r>
        <w:t>.  All Work shall be under the observation of the Inspector.  Contractor shall establish a protocol for requesting inspection with Inspector so as to not delay the Work and provide adequate time for the Inspector to perform inspection.  If suc</w:t>
      </w:r>
      <w:r>
        <w:t xml:space="preserve">h a protocol is not established ahead of time, Inspector may utilize the time criteria set by Title 24 of 48 hours in advance of submitting form DSA 156 for each new area.  The Inspector shall have free access to any or all parts of the Work at any time.  </w:t>
      </w:r>
      <w:r>
        <w:t>The Contractor shall furnish the Inspector such information as may be necessary to keep the Inspector fully informed regarding progress and manner of Work and character of materials.  Such observations shall not, in any way, relieve the Contractor from res</w:t>
      </w:r>
      <w:r>
        <w:t xml:space="preserve">ponsibility for full compliance with all terms and conditions of the Contract, or be construed to lessen to any degree the Contractor’s responsibility for providing efficient and capable superintendence.  The Inspector is not authorized to make changes in </w:t>
      </w:r>
      <w:r>
        <w:t>the drawings or specifications</w:t>
      </w:r>
      <w:r>
        <w:t>,</w:t>
      </w:r>
      <w:r>
        <w:t xml:space="preserve"> nor shall the Inspector’s approval of the Work and methods relieve the Contractor of responsibility for the correction of subsequently discovered defects, or from its obligation to comply with the Contract Documents.</w:t>
      </w:r>
    </w:p>
    <w:p w:rsidR="00E4078C" w:rsidRDefault="009760CB">
      <w:pPr>
        <w:pStyle w:val="Heading3"/>
      </w:pPr>
      <w:r>
        <w:rPr>
          <w:i/>
        </w:rPr>
        <w:t>Electro</w:t>
      </w:r>
      <w:r>
        <w:rPr>
          <w:i/>
        </w:rPr>
        <w:t xml:space="preserve">nic Posting. </w:t>
      </w:r>
      <w:r>
        <w:t xml:space="preserve"> Inspector shall electronically post DSA required documents on the DSA electronic posting website.  It is the Contractor’s responsibility to determine the status of posting and determine if all the criteria for sign off of a category of Work o</w:t>
      </w:r>
      <w:r>
        <w:t>n the Project Inspection Card (Form DSA 152) as defined more thoroughly in the most current version of the DSA 152 manual posted on the DSA website.</w:t>
      </w:r>
    </w:p>
    <w:p w:rsidR="00E4078C" w:rsidRDefault="009760CB">
      <w:pPr>
        <w:pStyle w:val="Heading3"/>
      </w:pPr>
      <w:r>
        <w:rPr>
          <w:i/>
        </w:rPr>
        <w:t>Incremental Approvals under PR-13.</w:t>
      </w:r>
      <w:r>
        <w:t xml:space="preserve">  Inspector may collaborate with Contractor about approval of areas that </w:t>
      </w:r>
      <w:r>
        <w:t>may be constructed and approved incrementally under the DSA 152 card pursuant to the gui</w:t>
      </w:r>
      <w:r>
        <w:t>delines of PR-13</w:t>
      </w:r>
      <w:r>
        <w:t>.  Inspector shall work with Contractor to present incremental approval proposals to DSA.</w:t>
      </w:r>
    </w:p>
    <w:p w:rsidR="00E4078C" w:rsidRDefault="009760CB">
      <w:pPr>
        <w:pStyle w:val="Heading3"/>
      </w:pPr>
      <w:r>
        <w:rPr>
          <w:i/>
        </w:rPr>
        <w:t>Inspector’s Authority to Reject or Stop Work.</w:t>
      </w:r>
      <w:r>
        <w:t xml:space="preserve">  The Inspector shall have the authority to reject Work whenever provisions of the Contract Documents are not being complied with, and Contractor shall instruct its Subcontractors and employees accordingly.  In addition, the Inspector may stop any Work tha</w:t>
      </w:r>
      <w:r>
        <w:t>t poses a probable risk of harm to persons or property.  The Contractor shall instruct its employees, Subcontractors, material and equipment suppliers, etc., accordingly.  The absence of any Stop Work Order or rejection of any portion of the Work shall not</w:t>
      </w:r>
      <w:r>
        <w:t xml:space="preserve"> relieve the Contractor from any of its obligations pursuant to the Contract Documents.</w:t>
      </w:r>
    </w:p>
    <w:p w:rsidR="00E4078C" w:rsidRDefault="009760CB">
      <w:pPr>
        <w:pStyle w:val="Heading3"/>
      </w:pPr>
      <w:r>
        <w:rPr>
          <w:i/>
        </w:rPr>
        <w:t xml:space="preserve">Inspector’s Facilities. </w:t>
      </w:r>
      <w:r>
        <w:t xml:space="preserve"> Within seven (7) days after notice to proceed, the Contractor shall provide the Inspector with the temporary facilities as required.  More spec</w:t>
      </w:r>
      <w:r>
        <w:t>ific requirements for the Inspector facilities may be further described under Division 1 of the Specifications.</w:t>
      </w:r>
    </w:p>
    <w:p w:rsidR="00E4078C" w:rsidRDefault="009760CB">
      <w:pPr>
        <w:pStyle w:val="Heading3"/>
      </w:pPr>
      <w:r>
        <w:rPr>
          <w:i/>
        </w:rPr>
        <w:lastRenderedPageBreak/>
        <w:t>Testing Times.</w:t>
      </w:r>
      <w:r>
        <w:t xml:space="preserve">  The District will provide inspection and testing at its cost during the normal eight (8) hour day Monday through Friday (except </w:t>
      </w:r>
      <w:r>
        <w:t>holidays).  Work by the Contractor outside of the normal eight (8) hour day shall constitute an authorization from the Contractor to the District to provide inspection and testing as required outside of the normal eight (8) hour day.  Contractor shall prov</w:t>
      </w:r>
      <w:r>
        <w:t xml:space="preserve">ide adequate time for inspections so as to not delay the Work.  An advanced timing protocol may be established pursuant to Article </w:t>
      </w:r>
      <w:r>
        <w:t>10</w:t>
      </w:r>
      <w:r>
        <w:t>.  If the Contractor is behind Schedule then it is incumbent on the Contractor to provide advance forecast through look ahe</w:t>
      </w:r>
      <w:r>
        <w:t>ad of the anticipated date for inspection so the Inspector may plan their activities so as to not delay the Project.  Contractor shall reimburse District for any additional costs associated with inspection and testing (including re-inspection and re-testin</w:t>
      </w:r>
      <w:r>
        <w:t xml:space="preserve">g) outside the normal eight-hour day and for any retests caused by the Contractor pursuant to Article </w:t>
      </w:r>
      <w:r>
        <w:t>10.4</w:t>
      </w:r>
      <w:r>
        <w:t>.</w:t>
      </w:r>
    </w:p>
    <w:p w:rsidR="00E4078C" w:rsidRDefault="009760CB" w:rsidP="000A3A3A">
      <w:pPr>
        <w:pStyle w:val="Heading3"/>
      </w:pPr>
      <w:r>
        <w:rPr>
          <w:i/>
        </w:rPr>
        <w:t>Contractor Is Required to Coordinate Testing and Inspections.</w:t>
      </w:r>
      <w:r>
        <w:t xml:space="preserve">  It is the Contractor’s responsibility to request special inspections with sufficient </w:t>
      </w:r>
      <w:r>
        <w:t>time so all testing may be timely completed and posted so work may proceed and the Inspector’s signature is attached to the Project Inspection Card (Form 152).  Specifically, timely request for special inspection under the DSA Verified Report Forms 291 (la</w:t>
      </w:r>
      <w:r>
        <w:t xml:space="preserve">boratory), DSA Verified Report Form 292 (Special Inspection), and DSA Verified Report 293 (geotechnical) since DSA requirements under PR 13-01 specifically gives the Special Inspections 14 days to post to the DSA website.  </w:t>
      </w:r>
      <w:r>
        <w:t>I</w:t>
      </w:r>
      <w:r w:rsidRPr="000A3A3A">
        <w:t>t is the Contractor’s responsibi</w:t>
      </w:r>
      <w:r w:rsidRPr="000A3A3A">
        <w:t xml:space="preserve">lity to timely schedule and pay (if applicable) for Special Inspections as to not delay the Project, and any failure or resulting delay is not considered Governmental Delay Float under Article </w:t>
      </w:r>
      <w:r>
        <w:t>9.2.1</w:t>
      </w:r>
      <w:r>
        <w:t>.</w:t>
      </w:r>
    </w:p>
    <w:p w:rsidR="00E4078C" w:rsidRDefault="009760CB">
      <w:pPr>
        <w:pStyle w:val="Heading3"/>
      </w:pPr>
      <w:r>
        <w:rPr>
          <w:i/>
        </w:rPr>
        <w:t>Special Inspection Out of State, Out of Country or Remot</w:t>
      </w:r>
      <w:r>
        <w:rPr>
          <w:i/>
        </w:rPr>
        <w:t>e from Project.</w:t>
      </w:r>
      <w:r>
        <w:t xml:space="preserve">  If Contractor has a </w:t>
      </w:r>
      <w:r>
        <w:t>Subcontractor</w:t>
      </w:r>
      <w:r>
        <w:t xml:space="preserve"> or supplier that requires in plant or special inspections or tests that are out of the </w:t>
      </w:r>
      <w:r>
        <w:t>c</w:t>
      </w:r>
      <w:r>
        <w:t xml:space="preserve">ountry, out of </w:t>
      </w:r>
      <w:r>
        <w:t>s</w:t>
      </w:r>
      <w:r>
        <w:t xml:space="preserve">tate or a </w:t>
      </w:r>
      <w:r>
        <w:t>d</w:t>
      </w:r>
      <w:r>
        <w:t>istance of more than 200 miles from the Project site, the District shall provide the Speci</w:t>
      </w:r>
      <w:r>
        <w:t>al Inspector or individual performing tests time for inspection and testing during normal work hours.  Contractor, however, is responsible for the cost of travel, housing, food, out of area premiums that may be in the Inspector/Testing Agreement with Distr</w:t>
      </w:r>
      <w:r>
        <w:t xml:space="preserve">ict, or other expenses necessary to ensure proper inspection or testing is provided by a DSA Certified Inspector, Special Inspector, or individual performing tests.  In some cases all three (DSA Inspector, Special Inspector, and Testing) may be required.  </w:t>
      </w:r>
      <w:r>
        <w:t>In addition, if the DSA Certified Inspector, Special Inspector, or individual performing test has contractual travel clauses or special rates for out of town inspection, Contractor is responsible for all costs associated with the contractual travel costs i</w:t>
      </w:r>
      <w:r>
        <w:t>n addition to all other costs.  Arrangements for inspection and/or testing shall be made far enough in advance so as to not delay the Work.</w:t>
      </w:r>
    </w:p>
    <w:p w:rsidR="00E4078C" w:rsidRDefault="009760CB">
      <w:pPr>
        <w:pStyle w:val="Heading2"/>
      </w:pPr>
      <w:r>
        <w:rPr>
          <w:u w:val="single"/>
        </w:rPr>
        <w:t>STOP WORK ORDER.</w:t>
      </w:r>
      <w:r>
        <w:t xml:space="preserve">  DSA may issue a Stop Work Order, or an Order to Comply, when either (1) the Work pro</w:t>
      </w:r>
      <w:r>
        <w:t xml:space="preserve">ceeds without </w:t>
      </w:r>
      <w:r>
        <w:t xml:space="preserve">DSA approval; (2) </w:t>
      </w:r>
      <w:r>
        <w:t xml:space="preserve">the Work proceeds without a DSA </w:t>
      </w:r>
      <w:r>
        <w:t xml:space="preserve">Project </w:t>
      </w:r>
      <w:r>
        <w:t>Inspector, or (3) where DSA determines that the Work is not being performed in accordance with applicable rules and regulations, and would compromise the structural integrity of the Project or would</w:t>
      </w:r>
      <w:r>
        <w:t xml:space="preserve"> endanger lives.  If a Stop Work Order is issued, the Work in the affected area shall cease until DSA withdraws the Stop Work Order.  Pursuant to Education Code </w:t>
      </w:r>
      <w:r>
        <w:t>section</w:t>
      </w:r>
      <w:r>
        <w:t xml:space="preserve"> 17307.5(b) and Education Code </w:t>
      </w:r>
      <w:r>
        <w:t>section</w:t>
      </w:r>
      <w:r>
        <w:t xml:space="preserve"> 81133.5, the District shall not be held liable in</w:t>
      </w:r>
      <w:r>
        <w:t xml:space="preserve"> any action filed against the District for any delays caused by compliance with the Stop Work Order, except to the extent that an error or omission by the District is the basis for the issuance of the Stop Work Order. </w:t>
      </w:r>
    </w:p>
    <w:p w:rsidR="00E4078C" w:rsidRDefault="009760CB">
      <w:pPr>
        <w:pStyle w:val="Heading2"/>
      </w:pPr>
      <w:r>
        <w:rPr>
          <w:u w:val="single"/>
        </w:rPr>
        <w:t>Inspector’s Field Office.</w:t>
      </w:r>
      <w:r>
        <w:t xml:space="preserve">  Contractor</w:t>
      </w:r>
      <w:r>
        <w:t xml:space="preserve"> shall provide for the use of inspector a separate trailer or temporary private office of not less than seventy</w:t>
      </w:r>
      <w:r>
        <w:t>-</w:t>
      </w:r>
      <w:r>
        <w:t>five square feet of floor area to be located as directed by District and to be maintained until removal is authorized by District.  The Office s</w:t>
      </w:r>
      <w:r>
        <w:t xml:space="preserve">hall be of substantial waterproof construction with adequate natural light and ventilation.  Door shall </w:t>
      </w:r>
      <w:r>
        <w:lastRenderedPageBreak/>
        <w:t>have a key type lock or padlock hasp.  The Inspector’s field office shall have heating and air-conditioning and shall be equipped with a telephone, inte</w:t>
      </w:r>
      <w:r>
        <w:t>rnet connection, working computer, a fax machine and use of an on-site copier at Contractor’s expense.  A table satisfactory for the study of plans and two chairs shall be provided by Contractor.  Contractor shall provide and pay for adequate electric ligh</w:t>
      </w:r>
      <w:r>
        <w:t>ts, and adequate heat and air conditioning for the field office until authorized removal.</w:t>
      </w:r>
    </w:p>
    <w:p w:rsidR="00E4078C" w:rsidRDefault="009760CB">
      <w:pPr>
        <w:pStyle w:val="Heading2"/>
      </w:pPr>
      <w:bookmarkStart w:id="68" w:name="_Ref472594965"/>
      <w:r>
        <w:t>RESPONSIBILITY FOR ADDITIONAL CHARGES INCURRED BY THE DISTRICT FOR PROFESSIONAL SERVICES</w:t>
      </w:r>
      <w:bookmarkEnd w:id="68"/>
    </w:p>
    <w:p w:rsidR="00E4078C" w:rsidRDefault="009760CB">
      <w:pPr>
        <w:pStyle w:val="Heading3"/>
      </w:pPr>
      <w:r>
        <w:t>If at any time prior to the completion of the requirements under the Contract</w:t>
      </w:r>
      <w:r>
        <w:t xml:space="preserve"> Documents, the District is required to provide or secure additional professional services (including CM, Inspection, Architect, Engineering and Special Consultant Services) for any reason by any act of the Contractor, the District may seek a Deductive Cha</w:t>
      </w:r>
      <w:r>
        <w:t xml:space="preserve">nge Order for any costs incurred for any such additional services, which costs shall be deducted from the next </w:t>
      </w:r>
      <w:r>
        <w:t xml:space="preserve">scheduled </w:t>
      </w:r>
      <w:r>
        <w:t>Progress Payment</w:t>
      </w:r>
      <w:r>
        <w:t xml:space="preserve">.  A Deductive Change Order shall be independent from any other District remedies and shall not be considered a waiver </w:t>
      </w:r>
      <w:r>
        <w:t xml:space="preserve">of any District rights or remedies.  If </w:t>
      </w:r>
      <w:r>
        <w:t xml:space="preserve">payments </w:t>
      </w:r>
      <w:r>
        <w:t>then or thereafter due to the Contractor are not sufficient to cover such amounts, the Contractor shall pay the difference to the District. Additional services shall include, but shall not be limited to, the</w:t>
      </w:r>
      <w:r>
        <w:t xml:space="preserve"> following:</w:t>
      </w:r>
    </w:p>
    <w:p w:rsidR="00E4078C" w:rsidRDefault="009760CB" w:rsidP="00896BD8">
      <w:pPr>
        <w:pStyle w:val="ListAlpha"/>
        <w:ind w:left="2790" w:hanging="630"/>
        <w:jc w:val="both"/>
      </w:pPr>
      <w:r>
        <w:t xml:space="preserve">Services made necessary by the default of the Contractor (Article </w:t>
      </w:r>
      <w:r>
        <w:t>19</w:t>
      </w:r>
      <w:r>
        <w:t xml:space="preserve"> or Article </w:t>
      </w:r>
      <w:r>
        <w:t>12.2</w:t>
      </w:r>
      <w:r>
        <w:t>).</w:t>
      </w:r>
    </w:p>
    <w:p w:rsidR="00E4078C" w:rsidRDefault="009760CB" w:rsidP="00896BD8">
      <w:pPr>
        <w:pStyle w:val="ListAlpha"/>
        <w:ind w:left="2790" w:hanging="630"/>
        <w:jc w:val="both"/>
      </w:pPr>
      <w:r>
        <w:t>Services made necessary due to the defects or deficiencies in the Work of the Contractor.</w:t>
      </w:r>
    </w:p>
    <w:p w:rsidR="00E4078C" w:rsidRDefault="009760CB" w:rsidP="00896BD8">
      <w:pPr>
        <w:pStyle w:val="ListAlpha"/>
        <w:ind w:left="2790" w:hanging="630"/>
        <w:jc w:val="both"/>
      </w:pPr>
      <w:r>
        <w:t>Preparation of a CCD or ICD to correct a Contractor Deficien</w:t>
      </w:r>
      <w:r>
        <w:t xml:space="preserve">cy, or </w:t>
      </w:r>
      <w:r>
        <w:t xml:space="preserve">Contractor Caused </w:t>
      </w:r>
      <w:r>
        <w:t xml:space="preserve">Notices </w:t>
      </w:r>
      <w:r>
        <w:t xml:space="preserve">of Non-Compliance (Article </w:t>
      </w:r>
      <w:r>
        <w:t>17.2</w:t>
      </w:r>
      <w:r>
        <w:t xml:space="preserve">) </w:t>
      </w:r>
    </w:p>
    <w:p w:rsidR="00E4078C" w:rsidRDefault="009760CB" w:rsidP="00896BD8">
      <w:pPr>
        <w:pStyle w:val="ListAlpha"/>
        <w:ind w:left="2790" w:hanging="630"/>
        <w:jc w:val="both"/>
      </w:pPr>
      <w:r>
        <w:t>Services required by failure of the Contractor to perform according to any provision of the Contract Documents.</w:t>
      </w:r>
    </w:p>
    <w:p w:rsidR="00E4078C" w:rsidRDefault="009760CB" w:rsidP="00896BD8">
      <w:pPr>
        <w:pStyle w:val="ListAlpha"/>
        <w:ind w:left="2790" w:hanging="630"/>
        <w:jc w:val="both"/>
      </w:pPr>
      <w:r>
        <w:t>Services in connection with evaluating substitutions of products, materials, equipme</w:t>
      </w:r>
      <w:r>
        <w:t xml:space="preserve">nt, Subcontractors’ proposed by the Contractor, and making subsequent revisions to drawings, specifications, obtaining DSA approvals, DSA costs for review of CCD’s, other governmental agency review costs, and providing other documentation required (except </w:t>
      </w:r>
      <w:r>
        <w:t xml:space="preserve">for the situation where the specified item is no longer manufactured or available). (Article </w:t>
      </w:r>
      <w:r>
        <w:t>16</w:t>
      </w:r>
    </w:p>
    <w:p w:rsidR="00E4078C" w:rsidRDefault="009760CB" w:rsidP="00896BD8">
      <w:pPr>
        <w:pStyle w:val="ListAlpha"/>
        <w:ind w:left="2790" w:hanging="630"/>
        <w:jc w:val="both"/>
      </w:pPr>
      <w:r>
        <w:t>Services for evaluating and processing Claims or Disputes submitted by the Contractor in connection with the Work outside the established Change Order</w:t>
      </w:r>
      <w:r>
        <w:t xml:space="preserve"> or Claims or Disputes</w:t>
      </w:r>
      <w:r>
        <w:t xml:space="preserve"> process.</w:t>
      </w:r>
    </w:p>
    <w:p w:rsidR="00E4078C" w:rsidRDefault="009760CB" w:rsidP="00896BD8">
      <w:pPr>
        <w:pStyle w:val="ListAlpha"/>
        <w:ind w:left="2790" w:hanging="630"/>
        <w:jc w:val="both"/>
      </w:pPr>
      <w:r>
        <w:t>Services required by the failure of the Contractor to prosecute the Work in a timely manner in compliance within the specified time of completion.</w:t>
      </w:r>
    </w:p>
    <w:p w:rsidR="00E4078C" w:rsidRDefault="009760CB" w:rsidP="00896BD8">
      <w:pPr>
        <w:pStyle w:val="ListAlpha"/>
        <w:ind w:left="2790" w:hanging="630"/>
        <w:jc w:val="both"/>
      </w:pPr>
      <w:r>
        <w:t>Services in conjunction with the testing, adjusting, balancing and start-up o</w:t>
      </w:r>
      <w:r>
        <w:t>f equipment other than the normal amount customarily associated for the type of Work involved.</w:t>
      </w:r>
    </w:p>
    <w:p w:rsidR="00E4078C" w:rsidRDefault="009760CB" w:rsidP="00896BD8">
      <w:pPr>
        <w:pStyle w:val="ListAlpha"/>
        <w:ind w:left="2790" w:hanging="630"/>
        <w:jc w:val="both"/>
      </w:pPr>
      <w:r>
        <w:t>Services in conjunction with more than one (1) re-review of Submittals of Shop Drawings, product data, samples, RFI’s etc.</w:t>
      </w:r>
    </w:p>
    <w:p w:rsidR="00E4078C" w:rsidRDefault="009760CB">
      <w:pPr>
        <w:pStyle w:val="Heading1"/>
      </w:pPr>
      <w:bookmarkStart w:id="69" w:name="_Toc256000012"/>
      <w:bookmarkStart w:id="70" w:name="_Toc472525892"/>
      <w:r>
        <w:rPr>
          <w:rStyle w:val="Heading1Char"/>
          <w:b/>
        </w:rPr>
        <w:lastRenderedPageBreak/>
        <w:t>ARCHITECT</w:t>
      </w:r>
      <w:bookmarkEnd w:id="69"/>
      <w:bookmarkEnd w:id="70"/>
    </w:p>
    <w:p w:rsidR="00E4078C" w:rsidRDefault="009760CB">
      <w:pPr>
        <w:pStyle w:val="Heading2"/>
      </w:pPr>
      <w:r>
        <w:rPr>
          <w:u w:val="single"/>
        </w:rPr>
        <w:t>Architect’s Status.</w:t>
      </w:r>
      <w:r>
        <w:t xml:space="preserve">  In gene</w:t>
      </w:r>
      <w:r>
        <w:t>ral and where appropriate and applicable, the Architect shall observe the progress and quality of the work on behalf of the District.  The Architect shall have the authority to act on behalf of District only to the extent expressly provided in this Constru</w:t>
      </w:r>
      <w:r>
        <w:t xml:space="preserve">ction Services Agreement.  After consultation with the Inspector and after using his/her best efforts to consult with the District, the Architect shall have authority to stop work whenever such stoppage may be necessary in his reasonable opinion to insure </w:t>
      </w:r>
      <w:r>
        <w:t xml:space="preserve">the proper execution of the Construction Services Agreement. Contractor further acknowledges that the Architect shall be, in the first instance, the judge of the performance of this Construction Services Agreement  </w:t>
      </w:r>
    </w:p>
    <w:p w:rsidR="00E4078C" w:rsidRDefault="009760CB">
      <w:pPr>
        <w:pStyle w:val="Heading2"/>
      </w:pPr>
      <w:r>
        <w:rPr>
          <w:u w:val="single"/>
        </w:rPr>
        <w:t xml:space="preserve">Architect’s Decisions. </w:t>
      </w:r>
      <w:r>
        <w:t xml:space="preserve"> Contractor shall promptly notify District in writing if the Architect fails within a reasonable time, make decisions on all claims of the District or Contractor and on all other matters relating to the execution and progress of the Project.</w:t>
      </w:r>
    </w:p>
    <w:p w:rsidR="00E4078C" w:rsidRDefault="009760CB">
      <w:pPr>
        <w:pStyle w:val="Heading1"/>
      </w:pPr>
      <w:bookmarkStart w:id="71" w:name="_Toc256000013"/>
      <w:bookmarkStart w:id="72" w:name="_Toc472525893"/>
      <w:r>
        <w:t>DISTRICT RESPO</w:t>
      </w:r>
      <w:r>
        <w:t>NSIBILITIES</w:t>
      </w:r>
      <w:bookmarkEnd w:id="71"/>
      <w:bookmarkEnd w:id="72"/>
    </w:p>
    <w:p w:rsidR="00E4078C" w:rsidRDefault="009760CB">
      <w:pPr>
        <w:pStyle w:val="Heading2"/>
      </w:pPr>
      <w:r>
        <w:rPr>
          <w:u w:val="single"/>
        </w:rPr>
        <w:t>District Site Representations</w:t>
      </w:r>
      <w:r>
        <w:t>.  District warrants and represents that, District has, and will continue to retain at all times during the course of construction, legal title to the Site and that said land is properly subdivided and zoned so as t</w:t>
      </w:r>
      <w:r>
        <w:t>o permit the construction and use of said Site.  District further warrants and represents that title to said land is free of any easements, conditions, limitation, special permits, variances, agreements or restrictions which would prevent, limit, or otherw</w:t>
      </w:r>
      <w:r>
        <w:t>ise restrict the construction or use of said facility.  However, in the event easements for permanent structures or permanent changes in existing facilities are necessary, they shall be secured and paid for by District, unless otherwise specified.  Referen</w:t>
      </w:r>
      <w:r>
        <w:t xml:space="preserve">ce is made to the fact that District has provided information on the Site to Contractor.  Such information shall not relieve the Contractor of its responsibility; and the interpretation of such data regarding the Site, as disclosed by any borings or other </w:t>
      </w:r>
      <w:r>
        <w:t>preliminary investigations, is not warranted or guaranteed, either expressly or implicitly, by the District.  The Contractor shall be responsible for having ascertained pertinent local conditions such as location, accessibility and general character of the</w:t>
      </w:r>
      <w:r>
        <w:t xml:space="preserve"> Site and for having satisfied </w:t>
      </w:r>
      <w:r>
        <w:t xml:space="preserve">itself </w:t>
      </w:r>
      <w:r>
        <w:t xml:space="preserve">as to the </w:t>
      </w:r>
      <w:r>
        <w:t xml:space="preserve">observable, known or documented </w:t>
      </w:r>
      <w:r>
        <w:t>conditions under whic</w:t>
      </w:r>
      <w:r>
        <w:t>h the work is to be performed.</w:t>
      </w:r>
    </w:p>
    <w:p w:rsidR="00E4078C" w:rsidRDefault="009760CB">
      <w:pPr>
        <w:pStyle w:val="Heading2"/>
      </w:pPr>
      <w:bookmarkStart w:id="73" w:name="_Ref472595026"/>
      <w:r>
        <w:rPr>
          <w:u w:val="single"/>
        </w:rPr>
        <w:t>Partial Default:  District Right to Take Over Work (Two (2) day notice to Cure and Correct)</w:t>
      </w:r>
      <w:r>
        <w:t xml:space="preserve">.  If the Contractor Defaults or </w:t>
      </w:r>
      <w:r>
        <w:t xml:space="preserve">neglects to carry out the Work in accordance with the Contract Documents, the District may provide a two (2) business day written notice to cure (a shorter period of time in the case of Emergency or a critical path delay) Contractor’s Partial Default in a </w:t>
      </w:r>
      <w:r>
        <w:t>specific segregated area of work.  The District’s right to issue a Partial Default of the Contractor’s Work and take over that segregated area of Work includes, but is not limited to:</w:t>
      </w:r>
      <w:bookmarkEnd w:id="73"/>
    </w:p>
    <w:p w:rsidR="00E4078C" w:rsidRDefault="009760CB" w:rsidP="00A56A04">
      <w:pPr>
        <w:pStyle w:val="ListAlpha"/>
        <w:numPr>
          <w:ilvl w:val="0"/>
          <w:numId w:val="25"/>
        </w:numPr>
        <w:ind w:left="2160"/>
        <w:jc w:val="both"/>
      </w:pPr>
      <w:r>
        <w:t>Failure to supply adequate workers on the entire Project or any part the</w:t>
      </w:r>
      <w:r>
        <w:t>reof;</w:t>
      </w:r>
    </w:p>
    <w:p w:rsidR="00E4078C" w:rsidRDefault="009760CB" w:rsidP="00A56A04">
      <w:pPr>
        <w:pStyle w:val="ListAlpha"/>
        <w:ind w:left="2160" w:hanging="720"/>
        <w:jc w:val="both"/>
      </w:pPr>
      <w:r>
        <w:t>Failure to supply a sufficient quantity of materials;</w:t>
      </w:r>
    </w:p>
    <w:p w:rsidR="00E4078C" w:rsidRDefault="009760CB" w:rsidP="00A56A04">
      <w:pPr>
        <w:pStyle w:val="ListAlpha"/>
        <w:ind w:left="2160" w:hanging="720"/>
        <w:jc w:val="both"/>
      </w:pPr>
      <w:r>
        <w:t>Failure to perform any provision of this Contract;</w:t>
      </w:r>
    </w:p>
    <w:p w:rsidR="00E4078C" w:rsidRDefault="009760CB" w:rsidP="00A56A04">
      <w:pPr>
        <w:pStyle w:val="ListAlpha"/>
        <w:ind w:left="2160" w:hanging="720"/>
        <w:jc w:val="both"/>
      </w:pPr>
      <w:r>
        <w:t>Failure to comply with safety requirements, or due to Contractor is creation of an unsafe condition;</w:t>
      </w:r>
    </w:p>
    <w:p w:rsidR="00E4078C" w:rsidRDefault="009760CB" w:rsidP="00A56A04">
      <w:pPr>
        <w:pStyle w:val="ListAlpha"/>
        <w:ind w:left="2160" w:hanging="720"/>
        <w:jc w:val="both"/>
      </w:pPr>
      <w:r>
        <w:t>Cases of bona fide emergency;</w:t>
      </w:r>
    </w:p>
    <w:p w:rsidR="00E4078C" w:rsidRDefault="009760CB" w:rsidP="00A56A04">
      <w:pPr>
        <w:pStyle w:val="ListAlpha"/>
        <w:ind w:left="2160" w:hanging="720"/>
        <w:jc w:val="both"/>
      </w:pPr>
      <w:r>
        <w:t>Failure to ord</w:t>
      </w:r>
      <w:r>
        <w:t>er materials in a timely manner;</w:t>
      </w:r>
    </w:p>
    <w:p w:rsidR="00E4078C" w:rsidRDefault="009760CB" w:rsidP="00A56A04">
      <w:pPr>
        <w:pStyle w:val="ListAlpha"/>
        <w:ind w:left="2160" w:hanging="720"/>
        <w:jc w:val="both"/>
      </w:pPr>
      <w:r>
        <w:t>Failure to prepare deferred-approval items or Shop Drawings in a timely manner;</w:t>
      </w:r>
    </w:p>
    <w:p w:rsidR="00E4078C" w:rsidRDefault="009760CB" w:rsidP="00A56A04">
      <w:pPr>
        <w:pStyle w:val="ListAlpha"/>
        <w:ind w:left="2160" w:hanging="720"/>
        <w:jc w:val="both"/>
      </w:pPr>
      <w:r>
        <w:lastRenderedPageBreak/>
        <w:t>Failure to comply with Contractor’s Baseline or Update Schedule, meet critical Milestones which would result in a Delay to the Critical Path, o</w:t>
      </w:r>
      <w:r>
        <w:t>r Delay the Contract Time;</w:t>
      </w:r>
    </w:p>
    <w:p w:rsidR="00E4078C" w:rsidRDefault="009760CB" w:rsidP="00A56A04">
      <w:pPr>
        <w:pStyle w:val="ListAlpha"/>
        <w:ind w:left="2160" w:hanging="720"/>
        <w:jc w:val="both"/>
      </w:pPr>
      <w:r>
        <w:t xml:space="preserve">Failure to comply with the </w:t>
      </w:r>
      <w:r>
        <w:t>Subcontractor selection and award requirements under Education Code section 17406(a)(4)</w:t>
      </w:r>
      <w:r>
        <w:t>;</w:t>
      </w:r>
    </w:p>
    <w:p w:rsidR="00E4078C" w:rsidRDefault="009760CB" w:rsidP="00A56A04">
      <w:pPr>
        <w:pStyle w:val="ListAlpha"/>
        <w:ind w:left="2160" w:hanging="720"/>
        <w:jc w:val="both"/>
      </w:pPr>
      <w:r>
        <w:t>Failure to meet the requirements of the American’s with Disabilities Act;</w:t>
      </w:r>
    </w:p>
    <w:p w:rsidR="00E4078C" w:rsidRDefault="009760CB" w:rsidP="00A56A04">
      <w:pPr>
        <w:pStyle w:val="ListAlpha"/>
        <w:ind w:left="2160" w:hanging="720"/>
        <w:jc w:val="both"/>
      </w:pPr>
      <w:r>
        <w:t>Failure to complete Punch List work;</w:t>
      </w:r>
      <w:r>
        <w:t xml:space="preserve">  o</w:t>
      </w:r>
      <w:r>
        <w:t>r</w:t>
      </w:r>
    </w:p>
    <w:p w:rsidR="00E4078C" w:rsidRDefault="009760CB" w:rsidP="00A56A04">
      <w:pPr>
        <w:pStyle w:val="ListAlpha"/>
        <w:ind w:left="2160" w:hanging="720"/>
        <w:jc w:val="both"/>
      </w:pPr>
      <w:r>
        <w:t>Failure to proceed on an Immediate Change Directive</w:t>
      </w:r>
      <w:r>
        <w:t>.</w:t>
      </w:r>
    </w:p>
    <w:p w:rsidR="00E4078C" w:rsidRDefault="009760CB">
      <w:pPr>
        <w:pStyle w:val="Heading3"/>
      </w:pPr>
      <w:r>
        <w:rPr>
          <w:i/>
        </w:rPr>
        <w:t>Failure to correct a Notice of Deviation.</w:t>
      </w:r>
      <w:r>
        <w:t xml:space="preserve">  If during the two (2) business day period, the Contractor fails to Cure and correct the deficiency noted in the notice of Partial Default with diligence and p</w:t>
      </w:r>
      <w:r>
        <w:t xml:space="preserve">romptness, the District may correct such deficiencies without prejudice to other remedies the District may have, including a Termination for Cause as set forth in Article </w:t>
      </w:r>
      <w:r>
        <w:t>19</w:t>
      </w:r>
      <w:r>
        <w:t>.</w:t>
      </w:r>
    </w:p>
    <w:p w:rsidR="00E4078C" w:rsidRDefault="009760CB">
      <w:pPr>
        <w:pStyle w:val="Heading3"/>
      </w:pPr>
      <w:r>
        <w:rPr>
          <w:i/>
        </w:rPr>
        <w:t xml:space="preserve">Service of Notice of Partial Default with Right to Cure. </w:t>
      </w:r>
      <w:r>
        <w:t xml:space="preserve"> A written notice of Par</w:t>
      </w:r>
      <w:r>
        <w:t xml:space="preserve">tial Default and right to Cure under Article </w:t>
      </w:r>
      <w:r>
        <w:t>12.2</w:t>
      </w:r>
      <w:r>
        <w:t xml:space="preserve">(“Article </w:t>
      </w:r>
      <w:r>
        <w:t>12.2</w:t>
      </w:r>
      <w:r>
        <w:t xml:space="preserve"> Notice” o</w:t>
      </w:r>
      <w:r>
        <w:t xml:space="preserve">r “Notice of Partial Default”) </w:t>
      </w:r>
      <w:r>
        <w:t>shall be served by facsimile (with a copy provided by e-mail to the e-mail address provided and copied to the Project Superintendent).</w:t>
      </w:r>
    </w:p>
    <w:p w:rsidR="00E4078C" w:rsidRDefault="009760CB">
      <w:pPr>
        <w:pStyle w:val="Heading3"/>
      </w:pPr>
      <w:r>
        <w:rPr>
          <w:i/>
        </w:rPr>
        <w:t>Shortened Time fo</w:t>
      </w:r>
      <w:r>
        <w:rPr>
          <w:i/>
        </w:rPr>
        <w:t>r Partial Default in the Case of Emergencies.</w:t>
      </w:r>
      <w:r>
        <w:t xml:space="preserve"> In an Emergency situation, the District may correct any of the deficiencies described in Article </w:t>
      </w:r>
      <w:r>
        <w:t>12.2</w:t>
      </w:r>
      <w:r>
        <w:t xml:space="preserve"> without prejudice to other remedies by providing service of written notice of Emergency requiring a shortene</w:t>
      </w:r>
      <w:r>
        <w:t xml:space="preserve">d time for Partial Default specifying the time given to Cure, if any.  </w:t>
      </w:r>
    </w:p>
    <w:p w:rsidR="00E4078C" w:rsidRDefault="009760CB">
      <w:pPr>
        <w:pStyle w:val="Heading3"/>
      </w:pPr>
      <w:r>
        <w:rPr>
          <w:i/>
        </w:rPr>
        <w:t>Shortened Time for Partial Default in the Case of Critical Path Delay.</w:t>
      </w:r>
      <w:r>
        <w:t xml:space="preserve">  In the case of critical path delay, the District may correct any of the deficiencies described in Article 12.2 w</w:t>
      </w:r>
      <w:r>
        <w:t>ithout prejudice to other remedies providing service of written notice of Critical Path Delay to the Contractor with a specific description of the critical path delay items noting the line item or area of Work that is on the Critical Path and prescribe the</w:t>
      </w:r>
      <w:r>
        <w:t xml:space="preserve"> length of shortened time to Cure, if any. </w:t>
      </w:r>
    </w:p>
    <w:p w:rsidR="00E4078C" w:rsidRDefault="009760CB">
      <w:pPr>
        <w:pStyle w:val="Heading3"/>
      </w:pPr>
      <w:r>
        <w:rPr>
          <w:i/>
        </w:rPr>
        <w:t>Written Notice of Partial Default to be Deducted by Deductive Change Order.</w:t>
      </w:r>
      <w:r>
        <w:t xml:space="preserve">  The District shall have the right to determine the reasonable value of the Article </w:t>
      </w:r>
      <w:r>
        <w:t>12.2</w:t>
      </w:r>
      <w:r>
        <w:t xml:space="preserve"> Partial Default Work, or if there is an actual value for the Work, shall use that value and issue a Deductive Change Orders under Article </w:t>
      </w:r>
      <w:r>
        <w:t>17.6</w:t>
      </w:r>
      <w:r>
        <w:t>.</w:t>
      </w:r>
    </w:p>
    <w:p w:rsidR="00E4078C" w:rsidRDefault="009760CB">
      <w:pPr>
        <w:pStyle w:val="Heading1"/>
      </w:pPr>
      <w:bookmarkStart w:id="74" w:name="_Toc256000014"/>
      <w:bookmarkStart w:id="75" w:name="_Toc365549826"/>
      <w:bookmarkStart w:id="76" w:name="_Toc472525894"/>
      <w:r>
        <w:t>CONTRACTOR RESPONSIBILITIES.</w:t>
      </w:r>
      <w:bookmarkEnd w:id="74"/>
      <w:bookmarkEnd w:id="75"/>
      <w:bookmarkEnd w:id="76"/>
      <w:r>
        <w:t xml:space="preserve"> </w:t>
      </w:r>
    </w:p>
    <w:p w:rsidR="00E4078C" w:rsidRDefault="009760CB">
      <w:pPr>
        <w:pStyle w:val="Heading2"/>
      </w:pPr>
      <w:r>
        <w:rPr>
          <w:u w:val="single"/>
        </w:rPr>
        <w:t>Full Time Supervision.</w:t>
      </w:r>
      <w:r>
        <w:t xml:space="preserve">  Contractor shall keep on the Work at all times during its</w:t>
      </w:r>
      <w:r>
        <w:t xml:space="preserve"> progress a competent, English speaking construction Superintendent satisfactory to the District.  The Superintendent shall be present on a full-time basis, shall be dedicated exclusively to the Project and shall not share superintendency duties with anoth</w:t>
      </w:r>
      <w:r>
        <w:t>er project or job.  The Superintendent shall not be replaced except with written consent of the District.  The Superintendent shall represent the Contractor in its absence and shall be fully authorized to receive and fulfill any instruction from the Archit</w:t>
      </w:r>
      <w:r>
        <w:t>ect, the Inspector, the District or any other District representative (including CM in the cases where the District has a CM representative).  All Requests for Information shall be originated by the Superintendent and responses thereto shall be given to th</w:t>
      </w:r>
      <w:r>
        <w:t>e Superintendent.  No Work shall begin on any day by any Subcontractor or other person on the Project site until the Superintendent has arrived, or shall any Work continue during the day after the Superintendent has departed from the Project site.  The Sup</w:t>
      </w:r>
      <w:r>
        <w:t xml:space="preserve">erintendent shall have authority to bind Contractor through </w:t>
      </w:r>
      <w:r>
        <w:lastRenderedPageBreak/>
        <w:t>the Superintendent’s acts.  The Superintendent shall represent the Contractor, and communications given to the Superintendent shall be binding on the Contractor.  Before commencing the Work, Contr</w:t>
      </w:r>
      <w:r>
        <w:t>actor shall give written notice to District (and CM representative) and Architect of the name and a Statement of Qualifications of such superintendent.  Superintendent shall not be changed except with written consent of District, unless a superintendent pr</w:t>
      </w:r>
      <w:r>
        <w:t>oves to be unsatisfactory to Contractor and ceases to be in its employ, in which case, Contractor shall notify District and Architect in writing.  Contractor shall provide a replacement superintendent approved by the District prior to performing additional</w:t>
      </w:r>
      <w:r>
        <w:t xml:space="preserve"> work.</w:t>
      </w:r>
    </w:p>
    <w:p w:rsidR="00E4078C" w:rsidRDefault="009760CB">
      <w:pPr>
        <w:pStyle w:val="Heading2"/>
      </w:pPr>
      <w:r>
        <w:rPr>
          <w:u w:val="single"/>
        </w:rPr>
        <w:t>Staff</w:t>
      </w:r>
      <w:r>
        <w:t xml:space="preserve">.  Notwithstanding other requirements of the Contract Documents, the Contractor and each Subcontractor shall: (1) furnish a competent and adequate staff as necessary for the proper administration, coordination, supervision, and superintendence </w:t>
      </w:r>
      <w:r>
        <w:t xml:space="preserve">of its portion of the Work; (2) organize the procurement of all materials and equipment so that the materials and equipment will be available at the time they are needed for the Work; and (3) keep an adequate force of skilled and fit workers on the job to </w:t>
      </w:r>
      <w:r>
        <w:t>complete the Work in accordance with all requirements of the Contract Documents.</w:t>
      </w:r>
    </w:p>
    <w:p w:rsidR="00E4078C" w:rsidRDefault="009760CB">
      <w:pPr>
        <w:pStyle w:val="Heading2"/>
      </w:pPr>
      <w:r>
        <w:t xml:space="preserve">Contractor shall notify District and Architect, in writing, when Contractor desires to change the Project Manager for the Project, and shall provide the information specified </w:t>
      </w:r>
      <w:r>
        <w:t>above.  The new Project Manager cannot serve on the Project until approved by District.  District shall have the right, at any time, to direct a change in Contractor’s Project Manager if performance is unsatisfactory, as determined by District, in its sole</w:t>
      </w:r>
      <w:r>
        <w:t xml:space="preserve"> discretion.</w:t>
      </w:r>
    </w:p>
    <w:p w:rsidR="00E4078C" w:rsidRDefault="009760CB">
      <w:pPr>
        <w:pStyle w:val="Heading2"/>
      </w:pPr>
      <w:r>
        <w:t>Contractor shall give efficient supervision to the work, using its skill and attention and shall cause working drawings and specifications to be prepared and submitted to the District.  Following agreement by Contractor and District with respect to said wo</w:t>
      </w:r>
      <w:r>
        <w:t xml:space="preserve">rking drawings and specifications, it shall be Contractor’s responsibility to perform the work described in said working drawings and specifications in substantial compliance with the Construction Documents.  </w:t>
      </w:r>
    </w:p>
    <w:p w:rsidR="00E4078C" w:rsidRDefault="009760CB">
      <w:pPr>
        <w:pStyle w:val="Heading2"/>
      </w:pPr>
      <w:r>
        <w:rPr>
          <w:u w:val="single"/>
        </w:rPr>
        <w:t>Right to Remove</w:t>
      </w:r>
      <w:r>
        <w:t>. District shall have the right</w:t>
      </w:r>
      <w:r>
        <w:t>, but not the obligation, to require the removal from the Project of any superintendent, staff member, agent, or employee of any Contractor, Subcontractor, material or equipment supplier.</w:t>
      </w:r>
    </w:p>
    <w:p w:rsidR="00E4078C" w:rsidRDefault="009760CB">
      <w:pPr>
        <w:pStyle w:val="Heading2"/>
      </w:pPr>
      <w:bookmarkStart w:id="77" w:name="_Ref472596739"/>
      <w:r>
        <w:rPr>
          <w:u w:val="single"/>
        </w:rPr>
        <w:t>Discipline</w:t>
      </w:r>
      <w:r>
        <w:t>.  The Contractor shall enforce strict discipline and good</w:t>
      </w:r>
      <w:r>
        <w:t xml:space="preserve"> order among the Contractor’s and Subcontractor’s employees, and other persons carrying out the Contract. The Contractor shall not permit employment of unfit persons or persons not skilled in tasks assigned to them.  As used in this subsection, “unfit” inc</w:t>
      </w:r>
      <w:r>
        <w:t xml:space="preserve">ludes any person who the District concludes is improperly skilled for the task assigned to that person, who fails to comply with the requirements of this </w:t>
      </w:r>
      <w:r>
        <w:t>A</w:t>
      </w:r>
      <w:r>
        <w:t>rticle, or who creates safety hazards which jeopardize other persons and/or property.</w:t>
      </w:r>
      <w:bookmarkEnd w:id="77"/>
    </w:p>
    <w:p w:rsidR="00E4078C" w:rsidRDefault="009760CB">
      <w:pPr>
        <w:pStyle w:val="Heading2"/>
        <w:rPr>
          <w:u w:val="single"/>
        </w:rPr>
      </w:pPr>
      <w:r>
        <w:rPr>
          <w:u w:val="single"/>
        </w:rPr>
        <w:t>Labor and Mater</w:t>
      </w:r>
      <w:r>
        <w:rPr>
          <w:u w:val="single"/>
        </w:rPr>
        <w:t>ials</w:t>
      </w:r>
    </w:p>
    <w:p w:rsidR="00E4078C" w:rsidRDefault="009760CB">
      <w:pPr>
        <w:pStyle w:val="Heading3"/>
      </w:pPr>
      <w:r>
        <w:rPr>
          <w:i/>
        </w:rPr>
        <w:t>Contractor to Provide.</w:t>
      </w:r>
      <w:r>
        <w:t xml:space="preserve">  Unless otherwise provided in the Contract Documents, the Contractor shall provide and pay for labor, material, equipment, tools, construction equipment and machinery, water, heat, air conditioning, utilities, transportation, an</w:t>
      </w:r>
      <w:r>
        <w:t>d other facilities, services and permits necessary for proper execution and completion of the Work whether temporary or permanent and whether or not incorporated or to be incorporated in the Work.</w:t>
      </w:r>
    </w:p>
    <w:p w:rsidR="00E4078C" w:rsidRDefault="009760CB">
      <w:pPr>
        <w:pStyle w:val="Heading3"/>
      </w:pPr>
      <w:r>
        <w:rPr>
          <w:i/>
        </w:rPr>
        <w:t>Quality</w:t>
      </w:r>
      <w:r>
        <w:t>.  Unless otherwise specified, all materials and equ</w:t>
      </w:r>
      <w:r>
        <w:t>ipment to be permanently installed in the Project shall be new and shall be of the highest quality or as specifically stated in the Contract Documents.  The Contractor shall, if requested, furnish satisfactory evidence as to kind and quality of all materia</w:t>
      </w:r>
      <w:r>
        <w:t>ls and equipment within ten (10) days of a written request by the District, including furnishing the District with bona fide copies of invoices for materials or services provided on the Project.  All labor shall be performed by workers skilled in their res</w:t>
      </w:r>
      <w:r>
        <w:t xml:space="preserve">pective trades, and </w:t>
      </w:r>
      <w:r>
        <w:lastRenderedPageBreak/>
        <w:t xml:space="preserve">shall be of the same or higher quality as with the standards of other </w:t>
      </w:r>
      <w:r>
        <w:t xml:space="preserve">public </w:t>
      </w:r>
      <w:r>
        <w:t>school construction.</w:t>
      </w:r>
    </w:p>
    <w:p w:rsidR="00E4078C" w:rsidRDefault="009760CB">
      <w:pPr>
        <w:pStyle w:val="Heading3"/>
      </w:pPr>
      <w:r>
        <w:rPr>
          <w:i/>
        </w:rPr>
        <w:t>Replacement</w:t>
      </w:r>
      <w:r>
        <w:t>. Any work, materials, or equipment, which do not conform to these requirements or the standards set forth in the Contract Docu</w:t>
      </w:r>
      <w:r>
        <w:t>ments, may be disapproved by the District, in which case, they shall be removed and replaced by the Contractor at no additional cost or extension of time to the District.</w:t>
      </w:r>
    </w:p>
    <w:p w:rsidR="00E4078C" w:rsidRDefault="009760CB">
      <w:pPr>
        <w:pStyle w:val="Heading2"/>
      </w:pPr>
      <w:r>
        <w:rPr>
          <w:u w:val="single"/>
        </w:rPr>
        <w:t>Pre-Construction Orientation/Construction Meetings</w:t>
      </w:r>
      <w:r>
        <w:t>.  The Contractor, in conjunction w</w:t>
      </w:r>
      <w:r>
        <w:t xml:space="preserve">ith the District and the Architect, shall conduct pre construction orientation conferences for the benefit of Subcontractors to orient the Subcontractors to the various reporting procedures and site rules prior to the commencement of actual construction.  </w:t>
      </w:r>
      <w:r>
        <w:t xml:space="preserve">These Pre-Construction meetings shall include coordination of the </w:t>
      </w:r>
      <w:r>
        <w:t>Subcontractor</w:t>
      </w:r>
      <w:r>
        <w:t xml:space="preserve"> Work to help reduce</w:t>
      </w:r>
      <w:r>
        <w:t xml:space="preserve"> Errors and Omissions and</w:t>
      </w:r>
      <w:r>
        <w:t xml:space="preserve"> Construction Contingency requests and shall incorporate the Constructability Due Diligence review done by Contractor.</w:t>
      </w:r>
    </w:p>
    <w:p w:rsidR="00E4078C" w:rsidRDefault="009760CB">
      <w:pPr>
        <w:pStyle w:val="Heading2"/>
      </w:pPr>
      <w:r>
        <w:rPr>
          <w:u w:val="single"/>
        </w:rPr>
        <w:t>Owner Meeting</w:t>
      </w:r>
      <w:r>
        <w:rPr>
          <w:u w:val="single"/>
        </w:rPr>
        <w:t>s.</w:t>
      </w:r>
      <w:r>
        <w:t xml:space="preserve">  The Contractor shall conduct construction and progress meetings with District Representatives, and Construction Managers that occur at least weekly and as otherwise requested by the District, to discuss such matters as procedures, progress problems and</w:t>
      </w:r>
      <w:r>
        <w:t xml:space="preserve"> scheduling.  The Contractor shall prepare and promptly distribute official minutes of such meetings to all parties in attendance including Architect, District and Inspector.</w:t>
      </w:r>
    </w:p>
    <w:p w:rsidR="00E4078C" w:rsidRDefault="009760CB">
      <w:pPr>
        <w:pStyle w:val="Heading2"/>
      </w:pPr>
      <w:r>
        <w:rPr>
          <w:u w:val="single"/>
        </w:rPr>
        <w:t>Budget/Cash Flow Reports.</w:t>
      </w:r>
      <w:r>
        <w:t xml:space="preserve">  The Contractor shall incorporate approved changes as t</w:t>
      </w:r>
      <w:r>
        <w:t xml:space="preserve">hey occur, and develop cash flow reports and forecasts for submittal to the District on a monthly basis.  The Contractor shall provide regular monitoring of the approved estimates of Construction Costs, showing actual costs for activities in progress, and </w:t>
      </w:r>
      <w:r>
        <w:t>estimates for uncompleted tasks.  The Contractor shall identify variances between actual and budgeted or estimated costs, and advise the District and the Architect whenever Project costs exceed budgets or estimates.  The Contractor shall maintain cost acco</w:t>
      </w:r>
      <w:r>
        <w:t>unting records on authorized additional services or work performed under unit costs, additional work performed on the basis of actual costs of labor and materials, or other work requiring accounting records.</w:t>
      </w:r>
    </w:p>
    <w:p w:rsidR="00E4078C" w:rsidRDefault="009760CB">
      <w:pPr>
        <w:pStyle w:val="Heading2"/>
      </w:pPr>
      <w:r>
        <w:rPr>
          <w:u w:val="single"/>
        </w:rPr>
        <w:t>Progress Reports.</w:t>
      </w:r>
      <w:r>
        <w:t xml:space="preserve">  The Contractor shall record t</w:t>
      </w:r>
      <w:r>
        <w:t>he progress of the Project, and shall submit monthly written progress reports to the District and the Architect including information on the entire Project, showing percentages of completion and the number and amounts of proposed Extra Work/Modifications a</w:t>
      </w:r>
      <w:r>
        <w:t>nd their effect on the Construction Costs as of the date of the report.  The Contractor shall also keep a daily log containing a record of weather, Contractors, work on the site, number of workers, work accomplished, problems encountered, and other similar</w:t>
      </w:r>
      <w:r>
        <w:t xml:space="preserve"> relevant data as the District may require.  The Contractor shall make the log available to the District and the Architect.  The District shall be promptly informed of all anticipated delays.  In the event that the Contractor determines that a schedule mod</w:t>
      </w:r>
      <w:r>
        <w:t>ification is necessary, the Contractor shall promptly submit a revised Schedule for approval by the District</w:t>
      </w:r>
    </w:p>
    <w:p w:rsidR="00E4078C" w:rsidRDefault="009760CB">
      <w:pPr>
        <w:pStyle w:val="Heading2"/>
        <w:rPr>
          <w:u w:val="single"/>
        </w:rPr>
      </w:pPr>
      <w:bookmarkStart w:id="78" w:name="_Ref472588347"/>
      <w:r>
        <w:rPr>
          <w:u w:val="single"/>
        </w:rPr>
        <w:t>Schedule of Values.</w:t>
      </w:r>
      <w:bookmarkEnd w:id="78"/>
    </w:p>
    <w:p w:rsidR="00E4078C" w:rsidRDefault="009760CB" w:rsidP="007C1F6D">
      <w:pPr>
        <w:pStyle w:val="Heading3"/>
      </w:pPr>
      <w:r>
        <w:rPr>
          <w:i/>
        </w:rPr>
        <w:t>Break Down of Schedule of Values.</w:t>
      </w:r>
      <w:r>
        <w:t xml:space="preserve">  Schedule of Values shall be broken down by Project, site, building, milestone, or other mean</w:t>
      </w:r>
      <w:r>
        <w:t>ingful method to measure the level of Project Completion as determined by the District.</w:t>
      </w:r>
      <w:r>
        <w:t xml:space="preserve">  </w:t>
      </w:r>
      <w:r w:rsidRPr="007C1F6D">
        <w:t>The schedule of values shall incl</w:t>
      </w:r>
      <w:r>
        <w:t xml:space="preserve">ude, but not be limited, to </w:t>
      </w:r>
      <w:r w:rsidRPr="007C1F6D">
        <w:t xml:space="preserve">Subcontractor </w:t>
      </w:r>
      <w:r>
        <w:t>c</w:t>
      </w:r>
      <w:r w:rsidRPr="007C1F6D">
        <w:t>o</w:t>
      </w:r>
      <w:r>
        <w:t>s</w:t>
      </w:r>
      <w:r w:rsidRPr="007C1F6D">
        <w:t>ts, the costs for the Submittals, Punch Lists, Commissioning and Start-Up, Close Out Subm</w:t>
      </w:r>
      <w:r w:rsidRPr="007C1F6D">
        <w:t>ittals, and As-Builts</w:t>
      </w:r>
      <w:r>
        <w:t>.</w:t>
      </w:r>
    </w:p>
    <w:p w:rsidR="00E4078C" w:rsidRDefault="009760CB">
      <w:pPr>
        <w:pStyle w:val="Heading3"/>
      </w:pPr>
      <w:r>
        <w:rPr>
          <w:i/>
        </w:rPr>
        <w:t>Based on Contra</w:t>
      </w:r>
      <w:r>
        <w:rPr>
          <w:i/>
        </w:rPr>
        <w:t xml:space="preserve">ctor </w:t>
      </w:r>
      <w:r>
        <w:rPr>
          <w:i/>
        </w:rPr>
        <w:t>Costs.</w:t>
      </w:r>
      <w:r>
        <w:t xml:space="preserve">  The Schedule of Values shall be base</w:t>
      </w:r>
      <w:r>
        <w:t>d on the costs from Contractor</w:t>
      </w:r>
      <w:r>
        <w:t xml:space="preserve"> to the District.  However, the submission of the Schedule of Values shall not be front loaded so the Contractor is paid a greater value th</w:t>
      </w:r>
      <w:r>
        <w:t>an the value of the Work actually performed and shall not shift funds from parts of the Project that are later to Work that is performed earlier.</w:t>
      </w:r>
    </w:p>
    <w:p w:rsidR="00E4078C" w:rsidRDefault="009760CB">
      <w:pPr>
        <w:pStyle w:val="Heading3"/>
      </w:pPr>
      <w:r>
        <w:rPr>
          <w:i/>
        </w:rPr>
        <w:lastRenderedPageBreak/>
        <w:t>Largest Dollar Value for Each Line Item.</w:t>
      </w:r>
      <w:r>
        <w:t xml:space="preserve">  Identify </w:t>
      </w:r>
      <w:r>
        <w:t>Subcontractor</w:t>
      </w:r>
      <w:r>
        <w:t xml:space="preserve">s and materials suppliers proposed to provide </w:t>
      </w:r>
      <w:r>
        <w:t>portions of Work equal to or greater than ten thousand dollars ($10,000) or one-half (1/2) of one percent (1%) of their Contract Price, whichever is less</w:t>
      </w:r>
      <w:r>
        <w:t>, or as otherwise approved in writing by the District</w:t>
      </w:r>
      <w:r>
        <w:t>.</w:t>
      </w:r>
    </w:p>
    <w:p w:rsidR="00E4078C" w:rsidRDefault="009760CB">
      <w:pPr>
        <w:pStyle w:val="Heading3"/>
      </w:pPr>
      <w:r>
        <w:rPr>
          <w:i/>
        </w:rPr>
        <w:t>Allowances</w:t>
      </w:r>
      <w:r>
        <w:t xml:space="preserve">.  Any Allowances provided for in the </w:t>
      </w:r>
      <w:r>
        <w:t>Contract shall be a line item in the Schedule of Values.</w:t>
      </w:r>
    </w:p>
    <w:p w:rsidR="00E4078C" w:rsidRDefault="009760CB">
      <w:pPr>
        <w:pStyle w:val="Heading3"/>
      </w:pPr>
      <w:r>
        <w:rPr>
          <w:i/>
        </w:rPr>
        <w:t>Labor and Materials Shall Be Separate</w:t>
      </w:r>
      <w:r>
        <w:t>.  Labor and Materials shall be broken into two separate line items unless specifically agreed in writing by the District.</w:t>
      </w:r>
    </w:p>
    <w:p w:rsidR="00E4078C" w:rsidRDefault="009760CB">
      <w:pPr>
        <w:pStyle w:val="Heading3"/>
      </w:pPr>
      <w:r>
        <w:rPr>
          <w:i/>
        </w:rPr>
        <w:t xml:space="preserve">District Approval Required. </w:t>
      </w:r>
      <w:r>
        <w:t xml:space="preserve">  The Distr</w:t>
      </w:r>
      <w:r>
        <w:t>ict shall review all submissions of Schedule of Values received pursuant to this Article in a timely manner.  All submissions must be approved by the District</w:t>
      </w:r>
      <w:r>
        <w:t xml:space="preserve"> before becoming the basis of any payment</w:t>
      </w:r>
      <w:r>
        <w:t>.</w:t>
      </w:r>
    </w:p>
    <w:p w:rsidR="00E4078C" w:rsidRDefault="009760CB">
      <w:pPr>
        <w:pStyle w:val="Heading2"/>
      </w:pPr>
      <w:r>
        <w:rPr>
          <w:u w:val="single"/>
        </w:rPr>
        <w:t>Scheduling.</w:t>
      </w:r>
      <w:r>
        <w:t xml:space="preserve">  Contractor shall complete the construction</w:t>
      </w:r>
      <w:r>
        <w:t xml:space="preserve"> pursuant to the CPM </w:t>
      </w:r>
      <w:r>
        <w:t xml:space="preserve">Schedule </w:t>
      </w:r>
      <w:r>
        <w:t xml:space="preserve">as required under Article </w:t>
      </w:r>
      <w:r>
        <w:t>9</w:t>
      </w:r>
      <w:r>
        <w:t>.</w:t>
      </w:r>
    </w:p>
    <w:p w:rsidR="00E4078C" w:rsidRDefault="009760CB">
      <w:pPr>
        <w:pStyle w:val="Heading2"/>
      </w:pPr>
      <w:bookmarkStart w:id="79" w:name="_Ref472587930"/>
      <w:r>
        <w:rPr>
          <w:u w:val="single"/>
        </w:rPr>
        <w:t>As-</w:t>
      </w:r>
      <w:r>
        <w:rPr>
          <w:u w:val="single"/>
        </w:rPr>
        <w:t>Builts.</w:t>
      </w:r>
      <w:r w:rsidRPr="00951CBA">
        <w:t xml:space="preserve"> </w:t>
      </w:r>
      <w:r>
        <w:t xml:space="preserve"> Throughout the duration of the Project, Contractor shall maintain on a current basis an accurate and complete set of As-Built Drawings (and Annotated Specifications) clearly showing all</w:t>
      </w:r>
      <w:r>
        <w:t xml:space="preserve"> changes, revisions to specifications and substitutions during construction, including, without limitation, field changes and the final location of all electrical and mechanical equipment, utility lines, ducts, outlets, structural members, walls, partition</w:t>
      </w:r>
      <w:r>
        <w:t>s, and other significant features.  In case a specification allows Contractor to elect one of several brands, makes, or types of material or equipment, the annotations shall show which of the allowable items the Contractor has furnished.  The Contractor wi</w:t>
      </w:r>
      <w:r>
        <w:t>ll update the As-Built Drawings and Annotated Specifications as often as necessary to keep them current, but no less often than weekly.</w:t>
      </w:r>
      <w:bookmarkEnd w:id="79"/>
      <w:r>
        <w:t xml:space="preserve">  </w:t>
      </w:r>
    </w:p>
    <w:p w:rsidR="00E4078C" w:rsidRDefault="009760CB">
      <w:pPr>
        <w:pStyle w:val="Heading3"/>
      </w:pPr>
      <w:r>
        <w:rPr>
          <w:i/>
        </w:rPr>
        <w:t>Updates</w:t>
      </w:r>
      <w:r>
        <w:t>.  Contractor shall update As-Built Drawings with complete information on an area of Work at or near the time w</w:t>
      </w:r>
      <w:r>
        <w:t>hen the Work is being performed and prior to any DSA 152 sign off and prior to any Work being covered.</w:t>
      </w:r>
    </w:p>
    <w:p w:rsidR="00E4078C" w:rsidRDefault="009760CB">
      <w:pPr>
        <w:pStyle w:val="Heading3"/>
      </w:pPr>
      <w:r>
        <w:rPr>
          <w:i/>
        </w:rPr>
        <w:t>Storage</w:t>
      </w:r>
      <w:r>
        <w:t xml:space="preserve">.  The </w:t>
      </w:r>
      <w:r>
        <w:t xml:space="preserve">As-Built </w:t>
      </w:r>
      <w:r>
        <w:t>Drawings and Annotated Specifications shall be kept at the Site and available for review and inspection by the District and the Ar</w:t>
      </w:r>
      <w:r>
        <w:t xml:space="preserve">chitect.  Failure to maintain and update the </w:t>
      </w:r>
      <w:r>
        <w:t xml:space="preserve">As-Built </w:t>
      </w:r>
      <w:r>
        <w:t xml:space="preserve">Drawings is a basis to withhold </w:t>
      </w:r>
      <w:r>
        <w:t xml:space="preserve">scheduled </w:t>
      </w:r>
      <w:r>
        <w:t>Progress Payment</w:t>
      </w:r>
      <w:r>
        <w:t xml:space="preserve">s </w:t>
      </w:r>
      <w:r>
        <w:t xml:space="preserve">pursuant to Article </w:t>
      </w:r>
      <w:r>
        <w:t>29.4</w:t>
      </w:r>
      <w:r>
        <w:t xml:space="preserve">.  </w:t>
      </w:r>
    </w:p>
    <w:p w:rsidR="00E4078C" w:rsidRDefault="009760CB">
      <w:pPr>
        <w:pStyle w:val="Heading3"/>
      </w:pPr>
      <w:r>
        <w:rPr>
          <w:i/>
        </w:rPr>
        <w:t xml:space="preserve">Upon Beneficial Occupancy. </w:t>
      </w:r>
      <w:r>
        <w:t xml:space="preserve"> Contractor shall obtain and pay for reproducible plans upon Beneficial Occupancy.  Con</w:t>
      </w:r>
      <w:r>
        <w:t xml:space="preserve">tractor shall deliver Plans to District Representative (Construction Manager if one is hired for the Project).  </w:t>
      </w:r>
    </w:p>
    <w:p w:rsidR="00E4078C" w:rsidRDefault="009760CB">
      <w:pPr>
        <w:pStyle w:val="Heading3"/>
      </w:pPr>
      <w:r>
        <w:rPr>
          <w:i/>
        </w:rPr>
        <w:t>As-Builts at Completion of Work.</w:t>
      </w:r>
      <w:r>
        <w:t xml:space="preserve">  On completion of the Work and prior to and as a condition precedent to </w:t>
      </w:r>
      <w:r>
        <w:t>the Application for Retention Payment</w:t>
      </w:r>
      <w:r>
        <w:t>,</w:t>
      </w:r>
      <w:r>
        <w:t xml:space="preserve"> the Contractor will provide one neatly prepared and complete set of As-Built Drawings and Annotated Specifications to the District.  Contractor shall certify the As-Builts as a complete and accurate reflection of the actual construction conditions of the </w:t>
      </w:r>
      <w:r>
        <w:t xml:space="preserve">Work by affixing a Stamp indicating the Drawings are As-Builts and Certifying Accuracy on the final set of As-Builts.  </w:t>
      </w:r>
    </w:p>
    <w:p w:rsidR="00E4078C" w:rsidRDefault="009760CB">
      <w:pPr>
        <w:pStyle w:val="Heading3"/>
      </w:pPr>
      <w:r>
        <w:rPr>
          <w:i/>
        </w:rPr>
        <w:t>Log of Control and Survey Documentation.</w:t>
      </w:r>
      <w:r>
        <w:t xml:space="preserve">  Contractor shall complete and maintain an accurate log or all control and survey documentation</w:t>
      </w:r>
      <w:r>
        <w:t xml:space="preserve"> for the Project as the Work progresses.  All reference and control points shall be recorded on the As-Built drawings.  The basis of elevations shall be one of the established benchmarks that must be maintained on the As-Builts.</w:t>
      </w:r>
    </w:p>
    <w:p w:rsidR="00E4078C" w:rsidRDefault="009760CB">
      <w:pPr>
        <w:pStyle w:val="Heading3"/>
      </w:pPr>
      <w:r>
        <w:rPr>
          <w:i/>
        </w:rPr>
        <w:lastRenderedPageBreak/>
        <w:t xml:space="preserve">Record Coordinates for Key </w:t>
      </w:r>
      <w:r>
        <w:rPr>
          <w:i/>
        </w:rPr>
        <w:t>Items.</w:t>
      </w:r>
      <w:r>
        <w:t xml:space="preserve">  Contractor shall record, by coordinates, all utilities on-site with top of pipe elevations, major grade and alignment changes, rim, grate or top of curb and flow line elevations of all drainage structures and sewer manholes.  Contractor shall updat</w:t>
      </w:r>
      <w:r>
        <w:t>e record information at or near the time when work is occurring in an area and prior to DSA 152 sign off on any category of Work and prior to covering the Work.</w:t>
      </w:r>
    </w:p>
    <w:p w:rsidR="00E4078C" w:rsidRDefault="009760CB">
      <w:pPr>
        <w:pStyle w:val="Heading2"/>
        <w:keepNext/>
        <w:rPr>
          <w:u w:val="single"/>
        </w:rPr>
      </w:pPr>
      <w:r>
        <w:rPr>
          <w:u w:val="single"/>
        </w:rPr>
        <w:t>Miscellaneous Obligations of Contractor</w:t>
      </w:r>
    </w:p>
    <w:p w:rsidR="00E4078C" w:rsidRDefault="009760CB">
      <w:pPr>
        <w:pStyle w:val="Heading3"/>
      </w:pPr>
      <w:r>
        <w:rPr>
          <w:i/>
        </w:rPr>
        <w:t>District Permit and Other Obligations</w:t>
      </w:r>
      <w:r>
        <w:t>.  It is expressly</w:t>
      </w:r>
      <w:r>
        <w:t xml:space="preserve"> understood that the District shall pay the DSA for the DSA inspector, soils testing, DSA fees, special testing, etc.  If additional review or permits become necessary for reasons not due to Contractor’s fault or because of DSA requirements or regulations </w:t>
      </w:r>
      <w:r>
        <w:t>implemented after the date the GMP is established and not reasonably anticipated at the time the GMP is established, Contractor may seek compensation only for the direct cost (without mark up or added fees) of that review, as an additional cost.  In the al</w:t>
      </w:r>
      <w:r>
        <w:t>ternative, District may pay such costs directly to DSA. (Offsite costs and additional inspection costs)</w:t>
      </w:r>
    </w:p>
    <w:p w:rsidR="00E4078C" w:rsidRDefault="009760CB">
      <w:pPr>
        <w:pStyle w:val="Heading3"/>
      </w:pPr>
      <w:bookmarkStart w:id="80" w:name="_Ref472589737"/>
      <w:r>
        <w:rPr>
          <w:i/>
        </w:rPr>
        <w:t>Contractor Permit Obligations.</w:t>
      </w:r>
      <w:r>
        <w:t xml:space="preserve">  Contractor shall pay for all remaining general building permits and ancillary permits and licenses not paid by District prior to the commencement of this Construction Services Agreement.  Contractor shall also be responsible for arranging and overseeing </w:t>
      </w:r>
      <w:r>
        <w:t>all necessary inspections and tests, including inspections by the DSA, permits and occupancy permits, and ensure compliance with any Federal and State laws.  All municipal charges for permanent utilities including, but not limited to, sewer, electrical, ph</w:t>
      </w:r>
      <w:r>
        <w:t>one, gas, water, and irrigation shall be paid for by District.  Contractor shall be responsible for arranging the payment of such fees</w:t>
      </w:r>
      <w:r>
        <w:t xml:space="preserve"> </w:t>
      </w:r>
      <w:r>
        <w:t>by District</w:t>
      </w:r>
      <w:r>
        <w:t xml:space="preserve"> at least one (1) week in advance of when the payment is due</w:t>
      </w:r>
      <w:r>
        <w:t>.  Contractor may either request reimbursement fro</w:t>
      </w:r>
      <w:r>
        <w:t>m District for such fees (at direct cost only), or obtain the funds from District prior to paying such fees.</w:t>
      </w:r>
      <w:bookmarkEnd w:id="80"/>
    </w:p>
    <w:p w:rsidR="00E4078C" w:rsidRDefault="009760CB">
      <w:pPr>
        <w:pStyle w:val="Heading3"/>
      </w:pPr>
      <w:r>
        <w:rPr>
          <w:i/>
        </w:rPr>
        <w:t>Protection</w:t>
      </w:r>
      <w:r>
        <w:t>.  The Contractor shall establish procedures for the protection of all existing structures, equipment, utilities, and other existing impr</w:t>
      </w:r>
      <w:r>
        <w:t>ovements, both on site and off site.</w:t>
      </w:r>
    </w:p>
    <w:p w:rsidR="00E4078C" w:rsidRDefault="009760CB">
      <w:pPr>
        <w:pStyle w:val="Heading3"/>
      </w:pPr>
      <w:r>
        <w:rPr>
          <w:i/>
        </w:rPr>
        <w:t>Nuisance Abatement.</w:t>
      </w:r>
      <w:r>
        <w:t xml:space="preserve">  The Contractor shall develop a mutually agreed upon documented program with the District to abate and minimize noise, dust, and disruption to normal activities at the existing facilities on the Site</w:t>
      </w:r>
      <w:r>
        <w:t>, including procedures to control on site noise, dust, and pollution during construction.</w:t>
      </w:r>
    </w:p>
    <w:p w:rsidR="00E4078C" w:rsidRDefault="009760CB" w:rsidP="00BA3018">
      <w:pPr>
        <w:pStyle w:val="Heading3"/>
      </w:pPr>
      <w:bookmarkStart w:id="81" w:name="_Ref472588483"/>
      <w:r>
        <w:rPr>
          <w:i/>
        </w:rPr>
        <w:t>Site Mitigation and Remediation.</w:t>
      </w:r>
      <w:r>
        <w:t xml:space="preserve">  </w:t>
      </w:r>
      <w:r w:rsidRPr="00BA3018">
        <w:t xml:space="preserve">Contractor shall be required to undertake Site mitigation or remediation at its sole cost for items identified in the Due Diligence </w:t>
      </w:r>
      <w:r w:rsidRPr="00BA3018">
        <w:t>Documents provided to Contractor.  For hazardous substances and underground conditions that differ from representations in Contract Documents or Due Diligence Documents, Contractor shall provide notice within five (5) days after the discovery of the occurr</w:t>
      </w:r>
      <w:r w:rsidRPr="00BA3018">
        <w:t>ence of the unforeseen</w:t>
      </w:r>
      <w:r>
        <w:t xml:space="preserve"> conditions.  If Due Diligence D</w:t>
      </w:r>
      <w:r w:rsidRPr="00BA3018">
        <w:t xml:space="preserve">ocuments and information provided to Contractor does not provide notice of the unforeseen condition, then the costs for such work shall be added as an extra pursuant to Article </w:t>
      </w:r>
      <w:r>
        <w:t>17</w:t>
      </w:r>
      <w:r w:rsidRPr="00BA3018">
        <w:t>.  Costs shall be alloc</w:t>
      </w:r>
      <w:r w:rsidRPr="00BA3018">
        <w:t xml:space="preserve">ated to the </w:t>
      </w:r>
      <w:r>
        <w:t>Unforeseen</w:t>
      </w:r>
      <w:r w:rsidRPr="00BA3018">
        <w:t xml:space="preserve"> Allowance.  However, to the extent </w:t>
      </w:r>
      <w:r>
        <w:t>Unforeseen</w:t>
      </w:r>
      <w:r w:rsidRPr="00BA3018">
        <w:t xml:space="preserve"> </w:t>
      </w:r>
      <w:r w:rsidRPr="00BA3018">
        <w:t xml:space="preserve">Allowance is exceeded, District may, in its sole and absolute discretion, allocate any costs that exceed the </w:t>
      </w:r>
      <w:r>
        <w:t>Unforeseen</w:t>
      </w:r>
      <w:r w:rsidRPr="00BA3018">
        <w:t xml:space="preserve"> </w:t>
      </w:r>
      <w:r w:rsidRPr="00BA3018">
        <w:t>Allowance arising from unforeseen underground conditions and hazard</w:t>
      </w:r>
      <w:r w:rsidRPr="00BA3018">
        <w:t>ous substances that are not documented in the Construction Doc</w:t>
      </w:r>
      <w:r>
        <w:t>uments or in the Due Diligence D</w:t>
      </w:r>
      <w:r w:rsidRPr="00BA3018">
        <w:t>ocuments reviewed to the District Contingency</w:t>
      </w:r>
      <w:r>
        <w:t>.</w:t>
      </w:r>
      <w:bookmarkEnd w:id="81"/>
    </w:p>
    <w:p w:rsidR="00E4078C" w:rsidRDefault="009760CB">
      <w:pPr>
        <w:pStyle w:val="Heading3"/>
      </w:pPr>
      <w:r>
        <w:rPr>
          <w:i/>
        </w:rPr>
        <w:t>Utilities</w:t>
      </w:r>
      <w:r>
        <w:t>.  The Contractor shall perform and pay for all temporary utility hook ups and connections; the District s</w:t>
      </w:r>
      <w:r>
        <w:t xml:space="preserve">hall pay for use of utilities during construction, as well as </w:t>
      </w:r>
      <w:r>
        <w:lastRenderedPageBreak/>
        <w:t>any fees owed to utility suppliers for connection to existing mainline facilities. Buildings shall be connected to water, gas, sewer, and electric services, complete and ready for use. Service c</w:t>
      </w:r>
      <w:r>
        <w:t>onnections shall be made and existing services reconnected</w:t>
      </w:r>
      <w:r>
        <w:t>.</w:t>
      </w:r>
    </w:p>
    <w:p w:rsidR="00E4078C" w:rsidRDefault="009760CB">
      <w:pPr>
        <w:pStyle w:val="Heading3"/>
      </w:pPr>
      <w:r>
        <w:rPr>
          <w:i/>
        </w:rPr>
        <w:t>Sanitary Facilities</w:t>
      </w:r>
      <w:r>
        <w:t>. The Contractor shall provide a sanitary temporary toilet building as directed by the inspector for the use of all workers.  The building shall be maintained in a sanitary cond</w:t>
      </w:r>
      <w:r>
        <w:t xml:space="preserve">ition at all times and shall be left at the site until the inspector directs removal.  Use of toilet facilities in the work under construction shall not be permitted except by approval of the Inspector.  </w:t>
      </w:r>
    </w:p>
    <w:p w:rsidR="00E4078C" w:rsidRDefault="009760CB">
      <w:pPr>
        <w:pStyle w:val="Heading3"/>
      </w:pPr>
      <w:r>
        <w:rPr>
          <w:i/>
        </w:rPr>
        <w:t xml:space="preserve">Layout and Field Engineering. </w:t>
      </w:r>
      <w:r>
        <w:t xml:space="preserve"> All field engineerin</w:t>
      </w:r>
      <w:r>
        <w:t>g required for laying out this work and establishing grades for earthwork operations shall be furnished by the Contractor at its expense.  Such work shall be done by a qualified civil engineer or land surveyor licensed in California and approved by the Arc</w:t>
      </w:r>
      <w:r>
        <w:t>hitect. Any required “as built” drawings of site development shall be prepared by a qualified civil engineer or land surveyor licensed in California and approved by the Architect.</w:t>
      </w:r>
    </w:p>
    <w:p w:rsidR="00E4078C" w:rsidRDefault="009760CB">
      <w:pPr>
        <w:pStyle w:val="Heading3"/>
      </w:pPr>
      <w:r>
        <w:rPr>
          <w:i/>
        </w:rPr>
        <w:t>Cutting and Patching</w:t>
      </w:r>
      <w:r>
        <w:t>.</w:t>
      </w:r>
      <w:r>
        <w:tab/>
        <w:t xml:space="preserve">Contractor shall do all cutting, fitting, or patching </w:t>
      </w:r>
      <w:r>
        <w:t>of work as required to make its several parts come together properly and fit it to receive or be received by work of other contractors showing upon, or reasonably implied by, the drawings and specifications for the completed structure.  Contractor shall ma</w:t>
      </w:r>
      <w:r>
        <w:t xml:space="preserve">ke good after them as Architect may direct. All cost caused by defective or ill-timed work shall be borne by party responsible therefore.  Contractor shall not endanger any work by cutting, excavating, or otherwise altering work and shall not cut or alter </w:t>
      </w:r>
      <w:r>
        <w:t>work of any other contractor with</w:t>
      </w:r>
      <w:r>
        <w:t>out</w:t>
      </w:r>
      <w:r>
        <w:t xml:space="preserve"> consent or at the direction of Architect.</w:t>
      </w:r>
    </w:p>
    <w:p w:rsidR="00E4078C" w:rsidRDefault="009760CB">
      <w:pPr>
        <w:pStyle w:val="Heading3"/>
      </w:pPr>
      <w:r>
        <w:rPr>
          <w:i/>
        </w:rPr>
        <w:t>Documents on the Project Site.</w:t>
      </w:r>
      <w:r>
        <w:t xml:space="preserve"> Contractor shall keep one copy of all Contract Documents, including addenda, change orders, Division I, Title 21 of the California Code of Regulat</w:t>
      </w:r>
      <w:r>
        <w:t>ions, Parts 1-5 and 12 of Title 24, and Title 22 of the California Code of Regulations, and the prevailing wage rates applicable to the Project, which are a part of Contract Documents, on job at all times.  Said documents shall be kept in good order and sh</w:t>
      </w:r>
      <w:r>
        <w:t>all be available to District representative, Architect and his representatives.  Contractor shall be acquainted with and comply with the provisions of said Titles 21, 22 and 24 as they relate to this Project.  (See particularly Duties of the Contractor, Ti</w:t>
      </w:r>
      <w:r>
        <w:t>tle 24 C</w:t>
      </w:r>
      <w:r>
        <w:t>alifornia Code of Regulations, S</w:t>
      </w:r>
      <w:r>
        <w:t>ection 4-343.)  Contractor shall also be acquainted with and comply with all California Code of Regulatio</w:t>
      </w:r>
      <w:r>
        <w:t>ns provisions relating to this P</w:t>
      </w:r>
      <w:r>
        <w:t>roject, particularly Titles 17, 19, 21, 22 and 24.)  Contractor shall also make</w:t>
      </w:r>
      <w:r>
        <w:t xml:space="preserve"> available all books, records, accounts, contracts, bids, etc. upon request of District.</w:t>
      </w:r>
    </w:p>
    <w:p w:rsidR="00E4078C" w:rsidRDefault="009760CB">
      <w:pPr>
        <w:pStyle w:val="Heading3"/>
      </w:pPr>
      <w:r>
        <w:rPr>
          <w:i/>
        </w:rPr>
        <w:t>Contractor to Bind Subcontractors to the Provisions of this Contract.</w:t>
      </w:r>
      <w:r>
        <w:t xml:space="preserve">  Contractor shall ensure that Subcontractors are bound to the same extent as Contractor is bound </w:t>
      </w:r>
      <w:r>
        <w:t>to District.</w:t>
      </w:r>
    </w:p>
    <w:p w:rsidR="00E4078C" w:rsidRDefault="009760CB">
      <w:pPr>
        <w:pStyle w:val="Heading3"/>
      </w:pPr>
      <w:r>
        <w:rPr>
          <w:i/>
        </w:rPr>
        <w:t>Contractor Responsible for Means and Methods.</w:t>
      </w:r>
      <w:r>
        <w:t xml:space="preserve">  Contractor shall be solely responsible for the construction means, methods, techniques, sequences, procedures, and coordinating all portions of the work under the Contract Documents, unless the Co</w:t>
      </w:r>
      <w:r>
        <w:t>ntract Documents give other specific instructions concerning these matters.  Contractor shall be responsible to see that the finished work complies accurately with the Contract Documents.  Contractor shall not perform the work without utilizing the Contrac</w:t>
      </w:r>
      <w:r>
        <w:t>t Documents or, where required, approved shop drawings, product data, or samples for any such portion of the work.</w:t>
      </w:r>
    </w:p>
    <w:p w:rsidR="00E4078C" w:rsidRDefault="009760CB">
      <w:pPr>
        <w:pStyle w:val="Heading3"/>
      </w:pPr>
      <w:r>
        <w:rPr>
          <w:i/>
        </w:rPr>
        <w:t xml:space="preserve">Contractor Responsible for Acts and Omissions of Employees. </w:t>
      </w:r>
      <w:r>
        <w:t xml:space="preserve"> Contractor shall be responsible to District for acts and omissions of Contractor</w:t>
      </w:r>
      <w:r>
        <w:t xml:space="preserve">’s employees, </w:t>
      </w:r>
      <w:r>
        <w:t>Subcontractor</w:t>
      </w:r>
      <w:r>
        <w:t xml:space="preserve">s, material and equipment suppliers, and their agents, employees, </w:t>
      </w:r>
      <w:r>
        <w:lastRenderedPageBreak/>
        <w:t xml:space="preserve">invitees, and other persons performing portions of the work under direct or indirect contract with Contractor or any of its </w:t>
      </w:r>
      <w:r>
        <w:t>Subcontractor</w:t>
      </w:r>
      <w:r>
        <w:t>s</w:t>
      </w:r>
      <w:r>
        <w:t>.</w:t>
      </w:r>
    </w:p>
    <w:p w:rsidR="00D8166D" w:rsidRDefault="009760CB" w:rsidP="00D8166D">
      <w:pPr>
        <w:pStyle w:val="Heading3"/>
      </w:pPr>
      <w:r w:rsidRPr="00D8166D">
        <w:rPr>
          <w:i/>
        </w:rPr>
        <w:t>General DSA Compliance</w:t>
      </w:r>
      <w:r>
        <w:t>.</w:t>
      </w:r>
      <w:r>
        <w:t xml:space="preserve">  </w:t>
      </w:r>
      <w:r w:rsidRPr="00D8166D">
        <w:t xml:space="preserve">During the </w:t>
      </w:r>
      <w:r>
        <w:t xml:space="preserve">entire </w:t>
      </w:r>
      <w:r w:rsidRPr="00D8166D">
        <w:t>term of this Agreement, Contractor shall coordinate its services with the District, Architect, Project Inspector, and other parties to ensure that all requirements set forth in the DSA’s Inspection Card (Form 152) and any subsequent rev</w:t>
      </w:r>
      <w:r w:rsidRPr="00D8166D">
        <w:t>isions or updates thereto issued or required by DSA, or any other/alternate processes are being met in compliance with DSA requirements.  Contractor shall take all action necessary as to not delay progress in meeting any DSA requirements.  Contractor shall</w:t>
      </w:r>
      <w:r w:rsidRPr="00D8166D">
        <w:t xml:space="preserve"> meet any applicable requirements set forth in DSA’s Construction Oversight Process Procedure (PR 13-01) and any subsequent revisions or updates thereto issued or required by DSA.  Any references to DSA requirements for the Project shall be deemed to inclu</w:t>
      </w:r>
      <w:r w:rsidRPr="00D8166D">
        <w:t>de and incorporate any revisions or updates thereto</w:t>
      </w:r>
      <w:r>
        <w:t>.</w:t>
      </w:r>
    </w:p>
    <w:p w:rsidR="00E4078C" w:rsidRDefault="009760CB">
      <w:pPr>
        <w:pStyle w:val="Heading2"/>
        <w:keepNext/>
        <w:rPr>
          <w:u w:val="single"/>
        </w:rPr>
      </w:pPr>
      <w:bookmarkStart w:id="82" w:name="_Ref472587861"/>
      <w:r>
        <w:rPr>
          <w:u w:val="single"/>
        </w:rPr>
        <w:t>Close Out</w:t>
      </w:r>
      <w:bookmarkEnd w:id="82"/>
    </w:p>
    <w:p w:rsidR="00E4078C" w:rsidRDefault="009760CB">
      <w:pPr>
        <w:pStyle w:val="Heading3"/>
      </w:pPr>
      <w:r>
        <w:rPr>
          <w:i/>
        </w:rPr>
        <w:t xml:space="preserve">All DSA Close-Out requirements (See DSA Certification Guide). </w:t>
      </w:r>
      <w:r>
        <w:t xml:space="preserve"> Contractor is also spec</w:t>
      </w:r>
      <w:r>
        <w:t>ifically directed to</w:t>
      </w:r>
      <w:r>
        <w:t xml:space="preserve"> the DSA Certification Guide and the applicable certificates for the DSA-311 form.</w:t>
      </w:r>
    </w:p>
    <w:p w:rsidR="00E4078C" w:rsidRDefault="009760CB">
      <w:pPr>
        <w:pStyle w:val="Heading3"/>
      </w:pPr>
      <w:r>
        <w:rPr>
          <w:i/>
        </w:rPr>
        <w:t>Punc</w:t>
      </w:r>
      <w:r>
        <w:rPr>
          <w:i/>
        </w:rPr>
        <w:t xml:space="preserve">h List Is Prepared Only After the Project Is Substantially Complete. </w:t>
      </w:r>
      <w:r>
        <w:t>The Inspector and Architect shall prepare a Punch List of items which is an inspection report of the Work, if any, required in order to complete the Contract Documents and ensure complian</w:t>
      </w:r>
      <w:r>
        <w:t xml:space="preserve">ce with the DSA Approved Plans so the Project may be Completed by the Contractor and a final DSA Close-Out is approved.  When all Work for the Project is Complete, including Punch Lists and all Work complies with the approved Contract Documents and Change </w:t>
      </w:r>
      <w:r>
        <w:t xml:space="preserve">Orders, the Project has reached Final Completion.  </w:t>
      </w:r>
    </w:p>
    <w:p w:rsidR="00E4078C" w:rsidRDefault="009760CB">
      <w:pPr>
        <w:pStyle w:val="Heading3"/>
      </w:pPr>
      <w:r>
        <w:rPr>
          <w:i/>
        </w:rPr>
        <w:t xml:space="preserve">Time for Completion of Punch List. </w:t>
      </w:r>
      <w:r>
        <w:t xml:space="preserve"> Contractor shall only be given a period of no more than thirty (30) days to complete the Punch List on Project.  During the Punch List period Contractor Superintendent </w:t>
      </w:r>
      <w:r>
        <w:t xml:space="preserve">and Project Manager shall remain engaged in the Project and shall not be removed or replaced.  If the Punch List is not completed at the end of the Punch List time then Contractor shall issue a valued Punch List within 5 days after the date the Punch List </w:t>
      </w:r>
      <w:r>
        <w:t>time ends.  If Contractor does not issue such a list, the Owner or Architect may issue a valued Punch List to the Contractor and withhold up to 150% of the value of the Punch List Work.</w:t>
      </w:r>
    </w:p>
    <w:p w:rsidR="00E4078C" w:rsidRDefault="009760CB">
      <w:pPr>
        <w:pStyle w:val="Heading3"/>
      </w:pPr>
      <w:r>
        <w:rPr>
          <w:i/>
        </w:rPr>
        <w:t xml:space="preserve">As-Builts Up to Date and Complete. </w:t>
      </w:r>
      <w:r>
        <w:t xml:space="preserve"> The intent of this procedure is to</w:t>
      </w:r>
      <w:r>
        <w:t xml:space="preserve"> obtain an exact “As-Built” record of the Work upon completion</w:t>
      </w:r>
      <w:r>
        <w:t xml:space="preserve"> of the P</w:t>
      </w:r>
      <w:r>
        <w:t xml:space="preserve">roject. The following information shall be carefully and correctly drawn on the prints and all items shall be accurately located and dimensioned from finished surfaces of building walls on all </w:t>
      </w:r>
      <w:r>
        <w:t xml:space="preserve">As-Built </w:t>
      </w:r>
      <w:r>
        <w:t>d</w:t>
      </w:r>
      <w:r>
        <w:t>rawings</w:t>
      </w:r>
      <w:r>
        <w:t>:</w:t>
      </w:r>
    </w:p>
    <w:p w:rsidR="00E4078C" w:rsidRDefault="009760CB">
      <w:pPr>
        <w:pStyle w:val="Heading4"/>
      </w:pPr>
      <w:r>
        <w:t>The exact location and elevations of all cov</w:t>
      </w:r>
      <w:r>
        <w:t>ered utilities, including valves, cleanouts, etc. must be shown on As-Builts</w:t>
      </w:r>
    </w:p>
    <w:p w:rsidR="00E4078C" w:rsidRDefault="009760CB">
      <w:pPr>
        <w:pStyle w:val="Heading4"/>
      </w:pPr>
      <w:r>
        <w:t>Contractor is liable and responsible for inaccuracies in As-Built drawings, even though they become evident at some future date.</w:t>
      </w:r>
    </w:p>
    <w:p w:rsidR="00E4078C" w:rsidRDefault="009760CB">
      <w:pPr>
        <w:pStyle w:val="Heading4"/>
      </w:pPr>
      <w:r>
        <w:t>Upon completion of the Work and as a condition pre</w:t>
      </w:r>
      <w:r>
        <w:t xml:space="preserve">cedent to approval of </w:t>
      </w:r>
      <w:r>
        <w:t xml:space="preserve">release of the </w:t>
      </w:r>
      <w:r>
        <w:t>Retention Payment</w:t>
      </w:r>
      <w:r>
        <w:t>, Contractor shall obtain the Inspector’s approval of the “As-Built” information. When completed, Contractor shall deliver corrected sepias and/or a Diskette with an electronic file in a format acceptab</w:t>
      </w:r>
      <w:r>
        <w:t>le to the District.</w:t>
      </w:r>
    </w:p>
    <w:p w:rsidR="00E4078C" w:rsidRDefault="009760CB">
      <w:pPr>
        <w:pStyle w:val="Heading4"/>
      </w:pPr>
      <w:r>
        <w:lastRenderedPageBreak/>
        <w:t>District may withhold the cost to hire a draftsman and potholing and testing service to complete Record As-Built Drawings at substantial cost if the Contractor does not deliver a complete set of Record As-Built Drawings.  This shall res</w:t>
      </w:r>
      <w:r>
        <w:t>ult in withholding of between $10,000 to $20,000 per building that does not have a corresponding Record As-Built Drawing.</w:t>
      </w:r>
    </w:p>
    <w:p w:rsidR="00E4078C" w:rsidRDefault="009760CB">
      <w:pPr>
        <w:pStyle w:val="Heading3"/>
      </w:pPr>
      <w:r>
        <w:rPr>
          <w:i/>
        </w:rPr>
        <w:t>Any Work not installed</w:t>
      </w:r>
      <w:r>
        <w:t xml:space="preserve"> as originally indicated on drawings</w:t>
      </w:r>
    </w:p>
    <w:p w:rsidR="00E4078C" w:rsidRDefault="009760CB">
      <w:pPr>
        <w:pStyle w:val="Heading3"/>
      </w:pPr>
      <w:r>
        <w:rPr>
          <w:i/>
        </w:rPr>
        <w:t>All DSA Close-Out requirements</w:t>
      </w:r>
      <w:r>
        <w:t xml:space="preserve"> (See DSA Certification Guide).  Contractor i</w:t>
      </w:r>
      <w:r>
        <w:t xml:space="preserve">s also </w:t>
      </w:r>
      <w:r w:rsidRPr="00282AAC">
        <w:t>specifically directed to the DSA Certification Guide and the applicable certificates for the DSA-311 form.</w:t>
      </w:r>
    </w:p>
    <w:p w:rsidR="00E4078C" w:rsidRDefault="009760CB">
      <w:pPr>
        <w:pStyle w:val="Heading3"/>
      </w:pPr>
      <w:r>
        <w:rPr>
          <w:i/>
        </w:rPr>
        <w:t>Submission of Form 6-C.</w:t>
      </w:r>
      <w:r>
        <w:t xml:space="preserve"> Contractor shall be required to execute a Form 6-C as required under Title 24 Sections 4-343.  The Contractor understa</w:t>
      </w:r>
      <w:r>
        <w:t>nds that the filing with DSA of a Form 6-C is a requirement to obtain final DSA Approval of the Construction by Contractor and utilized to verify under penalty of perjury that the Work performed by Contractor complies with the DSA approved Contract Documen</w:t>
      </w:r>
      <w:r>
        <w:t xml:space="preserve">ts.  </w:t>
      </w:r>
    </w:p>
    <w:p w:rsidR="00E4078C" w:rsidRDefault="009760CB">
      <w:pPr>
        <w:pStyle w:val="Heading3"/>
      </w:pPr>
      <w:r>
        <w:rPr>
          <w:i/>
        </w:rPr>
        <w:t>Contractor shall be Responsible for All Costs to Certify the Project.</w:t>
      </w:r>
      <w:r>
        <w:t xml:space="preserve">  The District may Certify the Project complies with Approved </w:t>
      </w:r>
      <w:r>
        <w:t>Construction Documents</w:t>
      </w:r>
      <w:r>
        <w:t xml:space="preserve"> by utilizing the procedures under the Project Certification Guide (Located at the DSA website at</w:t>
      </w:r>
      <w:r>
        <w:t xml:space="preserve"> http://www.documents.dgs.ca.gov/dsa/plan_review_process/project_certification_guide_updated_03-15-13.pdf).  All costs for professionals, inspection, and testing required for an alternate Project Certification shall be the Contractor’s responsibility and t</w:t>
      </w:r>
      <w:r>
        <w:t>he District reserves its right to institute legal action against the Contractor and Contra</w:t>
      </w:r>
      <w:r>
        <w:t>ctor’s Surety for all costs to c</w:t>
      </w:r>
      <w:r>
        <w:t>ertify the Project and all costs to correct Non-Compliant Work that is discovered during the Alternate Certification Process.</w:t>
      </w:r>
    </w:p>
    <w:p w:rsidR="00E4078C" w:rsidRDefault="009760CB">
      <w:pPr>
        <w:pStyle w:val="Heading3"/>
      </w:pPr>
      <w:r>
        <w:rPr>
          <w:i/>
        </w:rPr>
        <w:t>ADA Work</w:t>
      </w:r>
      <w:r>
        <w:rPr>
          <w:i/>
        </w:rPr>
        <w:t xml:space="preserve"> that must be corrected</w:t>
      </w:r>
      <w:r>
        <w:t xml:space="preserve"> to receive DSA certification.  See Article </w:t>
      </w:r>
      <w:r>
        <w:t>41</w:t>
      </w:r>
      <w:r>
        <w:t>.</w:t>
      </w:r>
    </w:p>
    <w:p w:rsidR="00E4078C" w:rsidRDefault="009760CB">
      <w:pPr>
        <w:pStyle w:val="Heading3"/>
      </w:pPr>
      <w:r>
        <w:rPr>
          <w:i/>
        </w:rPr>
        <w:t>Maintenance Manuals.</w:t>
      </w:r>
      <w:r>
        <w:t xml:space="preserve">  At least thirty (30) days prior to final inspection, three (3) copies of complete operations and maintenance manuals, repair parts lists, service instructions for all electrical and mechanical equipment, and equipment warranties shall be submitted. All i</w:t>
      </w:r>
      <w:r>
        <w:t xml:space="preserve">nstallation, operating, and maintenance information and drawings shall be bound in 8½” x 11” binders.  Provide a table of contents in front and all items shall be indexed with tabs. Each manual shall also contain a list of </w:t>
      </w:r>
      <w:r>
        <w:t>Subcontractor</w:t>
      </w:r>
      <w:r>
        <w:t>s, with their addres</w:t>
      </w:r>
      <w:r>
        <w:t>ses and the names of persons to contact in cases of emergency.  Identifying labels shall provide names of manufactures, their addresses, ratings, and capacities of equipment and machinery.</w:t>
      </w:r>
    </w:p>
    <w:p w:rsidR="00E4078C" w:rsidRDefault="009760CB">
      <w:pPr>
        <w:pStyle w:val="Heading3"/>
      </w:pPr>
      <w:r>
        <w:t>Maintenance manuals shall also be delivered in electronic media for</w:t>
      </w:r>
      <w:r>
        <w:t xml:space="preserve"> the Project.  Any demonstration videos shall also be provided on electronic media.</w:t>
      </w:r>
    </w:p>
    <w:p w:rsidR="00E4078C" w:rsidRDefault="009760CB">
      <w:pPr>
        <w:pStyle w:val="Heading2"/>
      </w:pPr>
      <w:r>
        <w:rPr>
          <w:u w:val="single"/>
        </w:rPr>
        <w:t>Correction of Work: Warranty.</w:t>
      </w:r>
      <w:r w:rsidRPr="000B4385">
        <w:t xml:space="preserve"> </w:t>
      </w:r>
      <w:r>
        <w:t xml:space="preserve"> Neither </w:t>
      </w:r>
      <w:r>
        <w:t xml:space="preserve">a </w:t>
      </w:r>
      <w:r>
        <w:t xml:space="preserve">Progress Payment, </w:t>
      </w:r>
      <w:r>
        <w:t xml:space="preserve">Sublease Payment </w:t>
      </w:r>
      <w:r>
        <w:t>nor any provision in the Contract Documents shall relieve Contractor of responsibility for fault</w:t>
      </w:r>
      <w:r>
        <w:t>y materials or workmanship incorporated in the Project.  Contractor warrants that all work under this Construction Services Agreement will be free of faulty materials or workmanship and hereby agrees, within ten (10) days upon receiving notification from D</w:t>
      </w:r>
      <w:r>
        <w:t>istrict, to remedy, repair or replace, without cost to District, all defects which may appear as a result of faulty materials or workmanship in the Project, at any time, or from time to time, during a period beginning with commencement of the Project and e</w:t>
      </w:r>
      <w:r>
        <w:t xml:space="preserve">nding one (1) years after the date of completion of the Project, as defined in Article </w:t>
      </w:r>
      <w:r>
        <w:t>18</w:t>
      </w:r>
      <w:r>
        <w:t xml:space="preserve"> hereof. The foregoing warranty of Contractor also applies to the remedy, repair or replacement of defects which may </w:t>
      </w:r>
      <w:r>
        <w:t xml:space="preserve">in the documents </w:t>
      </w:r>
      <w:r>
        <w:t>prepared by Contractor and/or any</w:t>
      </w:r>
      <w:r>
        <w:t xml:space="preserve"> party retained by, through or under Contractor in connection with the Project, but the foregoing </w:t>
      </w:r>
      <w:r>
        <w:lastRenderedPageBreak/>
        <w:t xml:space="preserve">warranty of Contractor does not guarantee against damage to the Project sustained by use, wear, intentional acts, accidents, or lack of normal maintenance or </w:t>
      </w:r>
      <w:r>
        <w:t>as a result of changes or additions to the Project made or done by parties not directly responsible to Contractor, except where such changes or additions to the Project are made in accordance with Contractor’s directions.  No guarantee furnished by a party</w:t>
      </w:r>
      <w:r>
        <w:t xml:space="preserve"> other than Contractor with respect to equipment manufactured or supplied by such party shall relieve Contractor from the foregoing warranty obligation of Contractor. The warranty period set forth herein above shall not apply to latent defects appearing in</w:t>
      </w:r>
      <w:r>
        <w:t xml:space="preserve"> the Project, and with respect to such defects, the applicable statute of limitations shall apply.  Contractor agrees to provide the District with all equipment and materials warranties provided by manufacturers to District but has no obligation to assist </w:t>
      </w:r>
      <w:r>
        <w:t>in processing such warranty claims after said one (1) year warranty period.</w:t>
      </w:r>
    </w:p>
    <w:p w:rsidR="00E4078C" w:rsidRDefault="009760CB">
      <w:pPr>
        <w:pStyle w:val="Heading3"/>
      </w:pPr>
      <w:r>
        <w:rPr>
          <w:i/>
        </w:rPr>
        <w:t>Assignment of Subcontracts.</w:t>
      </w:r>
      <w:r>
        <w:t xml:space="preserve">  Upon the Completion of the Warranty period, Contractor shall assign to the District all subcontracts with </w:t>
      </w:r>
      <w:r>
        <w:t>Subcontractor</w:t>
      </w:r>
      <w:r>
        <w:t>s, material suppliers or other v</w:t>
      </w:r>
      <w:r>
        <w:t xml:space="preserve">endors that provided Work for the Project.  This assignment shall include all purchase orders and any change orders or addenda that were executed with the assigned </w:t>
      </w:r>
      <w:r>
        <w:t>Subcontractor</w:t>
      </w:r>
      <w:r>
        <w:t>.</w:t>
      </w:r>
    </w:p>
    <w:p w:rsidR="00E4078C" w:rsidRDefault="009760CB">
      <w:pPr>
        <w:pStyle w:val="Heading4"/>
      </w:pPr>
      <w:r>
        <w:rPr>
          <w:u w:val="single"/>
        </w:rPr>
        <w:t>Documents to be Provided to District.</w:t>
      </w:r>
      <w:r>
        <w:t xml:space="preserve">  Contractor shall provide the following</w:t>
      </w:r>
      <w:r>
        <w:t xml:space="preserve"> documents to the District as part of Close Out of the </w:t>
      </w:r>
      <w:r>
        <w:t>P</w:t>
      </w:r>
      <w:r>
        <w:t>roject:</w:t>
      </w:r>
    </w:p>
    <w:p w:rsidR="00E4078C" w:rsidRDefault="009760CB">
      <w:pPr>
        <w:pStyle w:val="Heading5"/>
      </w:pPr>
      <w:r>
        <w:rPr>
          <w:i/>
        </w:rPr>
        <w:t>Subcontractor Warranty</w:t>
      </w:r>
      <w:r>
        <w:t>.  Contractor shall provide any warranty documents, including warranties consistent with the requirements of this Contract and the Contract Documents.</w:t>
      </w:r>
    </w:p>
    <w:p w:rsidR="00E4078C" w:rsidRDefault="009760CB">
      <w:pPr>
        <w:pStyle w:val="Heading5"/>
      </w:pPr>
      <w:r>
        <w:rPr>
          <w:i/>
        </w:rPr>
        <w:t>Contracts</w:t>
      </w:r>
      <w:r>
        <w:t>.  Contrac</w:t>
      </w:r>
      <w:r>
        <w:t xml:space="preserve">tor shall provide copies of all subcontracts, amendments, change orders and other documents associated with the </w:t>
      </w:r>
      <w:r>
        <w:t>Subcontractor’</w:t>
      </w:r>
      <w:r>
        <w:t>s scope of work and price for work on the Project.</w:t>
      </w:r>
    </w:p>
    <w:p w:rsidR="00E4078C" w:rsidRDefault="009760CB">
      <w:pPr>
        <w:pStyle w:val="Heading5"/>
      </w:pPr>
      <w:r>
        <w:rPr>
          <w:i/>
        </w:rPr>
        <w:t>Subcontractors Bound to the Same Extent as Contractor</w:t>
      </w:r>
      <w:r>
        <w:t xml:space="preserve">.  The Subcontractors </w:t>
      </w:r>
      <w:r>
        <w:t>shall be bound to the same extent as the Contractor is bound by this CSA and Subcontractors shall be required to include assignment of their contracts to the District.</w:t>
      </w:r>
    </w:p>
    <w:p w:rsidR="00E4078C" w:rsidRDefault="009760CB">
      <w:pPr>
        <w:pStyle w:val="Heading5"/>
      </w:pPr>
      <w:r>
        <w:rPr>
          <w:i/>
        </w:rPr>
        <w:t xml:space="preserve">Bonds Assignable. </w:t>
      </w:r>
      <w:r>
        <w:t xml:space="preserve"> Contractor shall ensure that </w:t>
      </w:r>
      <w:r>
        <w:t>Subcontractor</w:t>
      </w:r>
      <w:r>
        <w:t xml:space="preserve"> performance and payment bo</w:t>
      </w:r>
      <w:r>
        <w:t>nds are assignable and can be assigned to the District.</w:t>
      </w:r>
    </w:p>
    <w:p w:rsidR="00E4078C" w:rsidRDefault="009760CB">
      <w:pPr>
        <w:pStyle w:val="Heading5"/>
      </w:pPr>
      <w:r>
        <w:rPr>
          <w:i/>
        </w:rPr>
        <w:t>Unconditional Releases.</w:t>
      </w:r>
      <w:r>
        <w:t xml:space="preserve">  Contractor shall provide as part of the Close Out of the Project, Unconditional Releases for each Subcontractor and Material supplier that provided Work for the Project.</w:t>
      </w:r>
    </w:p>
    <w:p w:rsidR="00E4078C" w:rsidRDefault="009760CB">
      <w:pPr>
        <w:pStyle w:val="Heading5"/>
      </w:pPr>
      <w:r>
        <w:rPr>
          <w:i/>
        </w:rPr>
        <w:t>Proje</w:t>
      </w:r>
      <w:r>
        <w:rPr>
          <w:i/>
        </w:rPr>
        <w:t xml:space="preserve">ct Files. </w:t>
      </w:r>
      <w:r>
        <w:t xml:space="preserve"> Contractor shall provide the District a copy of the entire </w:t>
      </w:r>
      <w:r>
        <w:t>Subcontractor</w:t>
      </w:r>
      <w:r>
        <w:t xml:space="preserve"> file, including any submittals or shop drawings that were provided by </w:t>
      </w:r>
      <w:r>
        <w:t>Subcontractor</w:t>
      </w:r>
      <w:r>
        <w:t>.</w:t>
      </w:r>
    </w:p>
    <w:p w:rsidR="00E4078C" w:rsidRDefault="009760CB">
      <w:pPr>
        <w:pStyle w:val="Heading5"/>
      </w:pPr>
      <w:r>
        <w:rPr>
          <w:i/>
        </w:rPr>
        <w:t>District Reserves the Right to Assume Subcontractor Contracts Prior to the End of the W</w:t>
      </w:r>
      <w:r>
        <w:rPr>
          <w:i/>
        </w:rPr>
        <w:t xml:space="preserve">arranty Period. </w:t>
      </w:r>
      <w:r>
        <w:t xml:space="preserve"> District reserves the right to take assignment of </w:t>
      </w:r>
      <w:r>
        <w:t>Subcontractor</w:t>
      </w:r>
      <w:r>
        <w:t xml:space="preserve"> contracts prior to </w:t>
      </w:r>
      <w:r>
        <w:t>the end of the warranty period.</w:t>
      </w:r>
    </w:p>
    <w:p w:rsidR="00E4078C" w:rsidRDefault="009760CB">
      <w:pPr>
        <w:pStyle w:val="Heading2"/>
      </w:pPr>
      <w:r>
        <w:rPr>
          <w:u w:val="single"/>
        </w:rPr>
        <w:t>Assignment of Anti-Trust Claims</w:t>
      </w:r>
      <w:r>
        <w:t xml:space="preserve">.  The Contractor offers and agrees to assign to the District all rights, title and interest </w:t>
      </w:r>
      <w:r>
        <w:t xml:space="preserve">in and to all causes of action it may have under Section 4 of the Clayton </w:t>
      </w:r>
      <w:r>
        <w:lastRenderedPageBreak/>
        <w:t>Act (15 USC Sec. 15) or under the Cartwright Act (Chapter 2 (commencing with section 16700) of Part 2 of Division 7 of the Business and Professions Code), arising from purchase of go</w:t>
      </w:r>
      <w:r>
        <w:t xml:space="preserve">ods, services, or materials pursuant to the Construction Services Agreement.  This assignment shall become effective at the time the District tenders the final </w:t>
      </w:r>
      <w:r>
        <w:t>Subl</w:t>
      </w:r>
      <w:r>
        <w:t xml:space="preserve">ease Payment to Contractor, without further acknowledgment by the parties. </w:t>
      </w:r>
    </w:p>
    <w:p w:rsidR="00E4078C" w:rsidRDefault="009760CB">
      <w:pPr>
        <w:pStyle w:val="Heading1"/>
      </w:pPr>
      <w:bookmarkStart w:id="83" w:name="_Toc256000015"/>
      <w:bookmarkStart w:id="84" w:name="_Toc365549827"/>
      <w:bookmarkStart w:id="85" w:name="_Toc472525895"/>
      <w:bookmarkStart w:id="86" w:name="_Ref472587785"/>
      <w:r>
        <w:t>CONTRACT DOCUMEN</w:t>
      </w:r>
      <w:r>
        <w:t>TS AND INTERPRETATIONS</w:t>
      </w:r>
      <w:bookmarkEnd w:id="83"/>
      <w:bookmarkEnd w:id="84"/>
      <w:bookmarkEnd w:id="85"/>
      <w:bookmarkEnd w:id="86"/>
    </w:p>
    <w:p w:rsidR="00E4078C" w:rsidRDefault="009760CB">
      <w:pPr>
        <w:pStyle w:val="Heading2"/>
      </w:pPr>
      <w:r>
        <w:t>The Contract Documents shall be executed, and/or initialed as appropriate, in duplicate by District and Contractor.  The Contract Documents are complementary, and what is required by any one shall be as binding as if required by all.</w:t>
      </w:r>
      <w:r>
        <w:t xml:space="preserve">  The intention of the Contract Documents is to include all labor, services and materials reasonably necessary for the proper execution of the work.</w:t>
      </w:r>
    </w:p>
    <w:p w:rsidR="00E4078C" w:rsidRDefault="009760CB">
      <w:pPr>
        <w:pStyle w:val="Heading2"/>
      </w:pPr>
      <w:r>
        <w:t>It is not intended that work and/or services not covered under any heading, section, branch, class or trade</w:t>
      </w:r>
      <w:r>
        <w:t xml:space="preserve"> of the specifications shall be supplied, unless it is required elsewhere in the Contract Documents or is reasonably inferable therefrom as being necessary to produce the intended results, in which case such work and/or services shall be supplied by Contra</w:t>
      </w:r>
      <w:r>
        <w:t>ctor.  Words which have well known technical or trade meanings are used herein in accordance with such recognized meanings.  Mutual agreement shall be reached with respect to words which do not have a well-known technical or trade meaning and the definitio</w:t>
      </w:r>
      <w:r>
        <w:t>n of which come into question.</w:t>
      </w:r>
    </w:p>
    <w:p w:rsidR="00E4078C" w:rsidRDefault="009760CB">
      <w:pPr>
        <w:pStyle w:val="Heading2"/>
      </w:pPr>
      <w:r>
        <w:t xml:space="preserve">Plans </w:t>
      </w:r>
      <w:r>
        <w:t xml:space="preserve">and </w:t>
      </w:r>
      <w:r>
        <w:t>S</w:t>
      </w:r>
      <w:r>
        <w:t xml:space="preserve">pecifications are intended to be fully cooperative and to agree.  All </w:t>
      </w:r>
      <w:r>
        <w:t>Plan</w:t>
      </w:r>
      <w:r>
        <w:t xml:space="preserve"> and </w:t>
      </w:r>
      <w:r>
        <w:t xml:space="preserve">Specification </w:t>
      </w:r>
      <w:r>
        <w:t xml:space="preserve">changes shall be dated and sequentially recorded.  All modifications to </w:t>
      </w:r>
      <w:r>
        <w:t>Plan</w:t>
      </w:r>
      <w:r>
        <w:t xml:space="preserve">s and </w:t>
      </w:r>
      <w:r>
        <w:t>S</w:t>
      </w:r>
      <w:r>
        <w:t xml:space="preserve">pecifications shall be interpreted in </w:t>
      </w:r>
      <w:r>
        <w:t>conformity with the Contract Documents, which shall govern, unless otherwise specified.</w:t>
      </w:r>
    </w:p>
    <w:p w:rsidR="00E4078C" w:rsidRDefault="009760CB">
      <w:pPr>
        <w:pStyle w:val="Heading1"/>
      </w:pPr>
      <w:bookmarkStart w:id="87" w:name="_Toc256000016"/>
      <w:bookmarkStart w:id="88" w:name="_Toc365549828"/>
      <w:bookmarkStart w:id="89" w:name="_Toc472525896"/>
      <w:bookmarkStart w:id="90" w:name="_Ref472595385"/>
      <w:r>
        <w:t>SUBMITTALS</w:t>
      </w:r>
      <w:bookmarkEnd w:id="87"/>
      <w:bookmarkEnd w:id="88"/>
      <w:bookmarkEnd w:id="89"/>
      <w:bookmarkEnd w:id="90"/>
    </w:p>
    <w:p w:rsidR="00E4078C" w:rsidRDefault="009760CB">
      <w:pPr>
        <w:pStyle w:val="Heading2"/>
      </w:pPr>
      <w:r>
        <w:t xml:space="preserve">Definitions  </w:t>
      </w:r>
    </w:p>
    <w:p w:rsidR="00E4078C" w:rsidRDefault="009760CB">
      <w:pPr>
        <w:pStyle w:val="Heading3"/>
      </w:pPr>
      <w:r>
        <w:rPr>
          <w:i/>
        </w:rPr>
        <w:t>Deferred Approvals.</w:t>
      </w:r>
      <w:r>
        <w:t xml:space="preserve">  Approval of certain aspects of the construction may be deferred until the construction Contract has been awarded.  To faci</w:t>
      </w:r>
      <w:r>
        <w:t>litate the design process, DSA grants deferred approval to the design and detailing of certain elements of the Project at the request of the Architect or Engineer of Record. Design elements that may be deferred may include, but are not limited to Access fl</w:t>
      </w:r>
      <w:r>
        <w:t>oors, Bleachers, Elevator guide rails and related elevator systems, Exterior wall systems - precast concrete, glass fiber reinforced concrete, etc., Skylights, Window wall systems, storefronts, Stage rigging, and other systems as noted in the Contract Docu</w:t>
      </w:r>
      <w:r>
        <w:t xml:space="preserve">ments.  (Also see Article </w:t>
      </w:r>
      <w:r>
        <w:t>15.3</w:t>
      </w:r>
      <w:r>
        <w:t xml:space="preserve"> </w:t>
      </w:r>
      <w:r>
        <w:t xml:space="preserve">and </w:t>
      </w:r>
      <w:r>
        <w:t>15.6</w:t>
      </w:r>
      <w:r>
        <w:t>)</w:t>
      </w:r>
      <w:r>
        <w:t>.</w:t>
      </w:r>
    </w:p>
    <w:p w:rsidR="00E4078C" w:rsidRDefault="009760CB">
      <w:pPr>
        <w:pStyle w:val="Heading3"/>
      </w:pPr>
      <w:r>
        <w:rPr>
          <w:i/>
        </w:rPr>
        <w:t>Shop Drawings.</w:t>
      </w:r>
      <w:r>
        <w:t xml:space="preserve">  The term “Shop Drawings” as used herein means drawings, diagrams, equipment or product schedules, and other data, which are prepared by Contractor, Subcontractors, manufacturers, suppliers, or distr</w:t>
      </w:r>
      <w:r>
        <w:t>ibutors illustrating some portion of the Work, and includes: illustrations; fabrication, erection, layout and setting drawings; manufacturer’s standard drawings; schedules; descriptive literature, instructions, catalogs, and brochures; performance and test</w:t>
      </w:r>
      <w:r>
        <w:t xml:space="preserve"> data including charts; wiring and control diagrams; and all other drawings and descriptive data pertaining to materials, equipment, piping, duct and conduit systems, and methods of construction as may be required to show that the materials, equipment, or </w:t>
      </w:r>
      <w:r>
        <w:t xml:space="preserve">systems and their position conform to the requirements of the Contract Documents. </w:t>
      </w:r>
    </w:p>
    <w:p w:rsidR="00E4078C" w:rsidRDefault="009760CB">
      <w:pPr>
        <w:pStyle w:val="Heading3"/>
      </w:pPr>
      <w:r>
        <w:rPr>
          <w:i/>
        </w:rPr>
        <w:t>Manufactured</w:t>
      </w:r>
      <w:r>
        <w:t xml:space="preserve"> applies to standard units usually mass-produced, and “Fabricated” means items specifically assembled or made out of selected materials to meet individual design</w:t>
      </w:r>
      <w:r>
        <w:t xml:space="preserve"> requirements.  Shop drawings shall: establish the actual detail of all manufactured or fabricated items, indicate proper relation to adjoining work, amplify design details of mechanical and electrical systems and equipment in proper relation </w:t>
      </w:r>
      <w:r>
        <w:lastRenderedPageBreak/>
        <w:t>to physical s</w:t>
      </w:r>
      <w:r>
        <w:t>paces in the structure, and incorporate minor changes of design or construction to suit actual conditions.</w:t>
      </w:r>
    </w:p>
    <w:p w:rsidR="00E4078C" w:rsidRDefault="009760CB">
      <w:pPr>
        <w:pStyle w:val="Heading3"/>
      </w:pPr>
      <w:r>
        <w:rPr>
          <w:i/>
        </w:rPr>
        <w:t>Submittals</w:t>
      </w:r>
      <w:r>
        <w:t xml:space="preserve"> is a term used interchangeably and sometimes refers to Shop Drawings, Product Data, and Samples since all </w:t>
      </w:r>
      <w:r>
        <w:t>Subcontractor</w:t>
      </w:r>
      <w:r>
        <w:t xml:space="preserve"> submissions are tr</w:t>
      </w:r>
      <w:r>
        <w:t>acked in a Submittal Log and may include any of the noted items.  However, generally, a Submittal is a manufacturer’s product information and product data including description, characteristics, size, physical characteristics, and requirements to prepare t</w:t>
      </w:r>
      <w:r>
        <w:t>he jobsite for receiving of the particular manufactured item.</w:t>
      </w:r>
    </w:p>
    <w:p w:rsidR="00E4078C" w:rsidRDefault="009760CB">
      <w:pPr>
        <w:pStyle w:val="Heading3"/>
      </w:pPr>
      <w:r>
        <w:rPr>
          <w:i/>
        </w:rPr>
        <w:t>Samples</w:t>
      </w:r>
      <w:r>
        <w:t>.  The term “samples” as used herein are physical examples furnished by Contractor to illustrate materials, equipment, or quality and includes natural materials, fabricated items, equipme</w:t>
      </w:r>
      <w:r>
        <w:t xml:space="preserve">nt, devices, appliances, or parts thereof as called for in the Specifications, and any other samples as may be required by the Architect to determine whether the kind, quality, construction, finish, color, and other characteristics of the materials, etc., </w:t>
      </w:r>
      <w:r>
        <w:t xml:space="preserve">proposed by the Contractor conform to the required characteristics of the various parts of the Work.  All Work shall be in accordance with the approved samples.  </w:t>
      </w:r>
    </w:p>
    <w:p w:rsidR="00E4078C" w:rsidRDefault="009760CB">
      <w:pPr>
        <w:pStyle w:val="Heading2"/>
      </w:pPr>
      <w:r>
        <w:t>Shop Drawings.</w:t>
      </w:r>
    </w:p>
    <w:p w:rsidR="00E4078C" w:rsidRDefault="009760CB">
      <w:pPr>
        <w:pStyle w:val="Heading3"/>
      </w:pPr>
      <w:r>
        <w:rPr>
          <w:i/>
        </w:rPr>
        <w:t>When Shop Drawings Are Required</w:t>
      </w:r>
      <w:r>
        <w:t>.  Shop drawings are required for prefabricated</w:t>
      </w:r>
      <w:r>
        <w:t xml:space="preserve"> components and for installation and coordination of these prefabricated components into the Project.  In addition, Shop Drawings, are prepared to address the actual size and installation of components from various </w:t>
      </w:r>
      <w:r>
        <w:t>Subcontractor</w:t>
      </w:r>
      <w:r>
        <w:t>s and provides an opportunit</w:t>
      </w:r>
      <w:r>
        <w:t xml:space="preserve">y for the Contractor to coordinate and address conflicts between the subcontracting trades. In some cases, each </w:t>
      </w:r>
      <w:r>
        <w:t>Subcontractor</w:t>
      </w:r>
      <w:r>
        <w:t xml:space="preserve"> or trade will provide Shop Drawings in a format agreed upon by District.  </w:t>
      </w:r>
    </w:p>
    <w:p w:rsidR="00E4078C" w:rsidRDefault="009760CB">
      <w:pPr>
        <w:pStyle w:val="Heading3"/>
      </w:pPr>
      <w:r>
        <w:rPr>
          <w:i/>
        </w:rPr>
        <w:t>Purpose for Shop Drawings.</w:t>
      </w:r>
      <w:r>
        <w:t xml:space="preserve">  Shop drawings are the Contractor’s manufacturer, </w:t>
      </w:r>
      <w:r>
        <w:t>Subcontractor</w:t>
      </w:r>
      <w:r>
        <w:t>, supplier, vendor or the Contractor’s detailed drawings showing particularized method for assembly, specifics to a manufacturer, manufacturer component installation requirements, specifics as</w:t>
      </w:r>
      <w:r>
        <w:t xml:space="preserve"> to a manufactured item, alterations to a manufactured, a custom created item, or drawn version of more detailed information expanding on the Architect’s design shown in the Contact Documents.   The Shop Drawings address the appearance, performance, size, </w:t>
      </w:r>
      <w:r>
        <w:t xml:space="preserve">weight, characteristics and prescriptive descriptions associated with the Contractor or Contractor’s </w:t>
      </w:r>
      <w:r>
        <w:t>Subcontractor</w:t>
      </w:r>
      <w:r>
        <w:t>’s plan for installation or assembly based on the design in the specifications and Contract Documents.  The shop drawing often is more detaile</w:t>
      </w:r>
      <w:r>
        <w:t>d than the information shown in the Contract Documents to give the Architect and Engineer the opportunity to review the fabricator’s version of the product (along with particulars specific to that particular product), prior to fabrication. References to th</w:t>
      </w:r>
      <w:r>
        <w:t>e Contract Documents, Construction Documents, Drawings, Plans, and Specifications assist the Architect and Engineer in their review of the Shop Drawings. Attachment of manufacturer’s material specifications, “catalog cut sheets,” and other manufacturer’s i</w:t>
      </w:r>
      <w:r>
        <w:t>nformation may be provided to accompany Shop Drawings.   Because Shop Drawings facilitate the Architect’s and Engineer’s approval of the system, they should be as clear and complete as possible so they may be reviewed by Architect or Engineer for the Proje</w:t>
      </w:r>
      <w:r>
        <w:t>ct.</w:t>
      </w:r>
    </w:p>
    <w:p w:rsidR="00E4078C" w:rsidRDefault="009760CB">
      <w:pPr>
        <w:pStyle w:val="Heading3"/>
      </w:pPr>
      <w:r>
        <w:rPr>
          <w:i/>
        </w:rPr>
        <w:t xml:space="preserve">Shop Drawing Requirements.  </w:t>
      </w:r>
      <w:r>
        <w:t>The Contractor shall obtain and submit with Shop Drawings all seismic and other calculations and all product data from equipment manufacturers.  “Product data” as used herein are illustrations, standard schedules, performanc</w:t>
      </w:r>
      <w:r>
        <w:t xml:space="preserve">e charts, instructions, brochures, diagrams, and other information furnished by the Contractor to illustrate a material, product, or system for some portion of the Work.  </w:t>
      </w:r>
    </w:p>
    <w:p w:rsidR="00E4078C" w:rsidRDefault="009760CB">
      <w:pPr>
        <w:pStyle w:val="Heading3"/>
      </w:pPr>
      <w:r>
        <w:rPr>
          <w:i/>
        </w:rPr>
        <w:lastRenderedPageBreak/>
        <w:t>Not a Reproduction of Architectural or Engineering Drawings.</w:t>
      </w:r>
      <w:r>
        <w:t xml:space="preserve"> The shop drawing are not a reproduction of the architectural or engineering drawings.  Instead, they must show more detail than the Construction Documents and details the fabrication and/or installation of the items to the manufacturer’s production crew o</w:t>
      </w:r>
      <w:r>
        <w:t xml:space="preserve">r Contractor’s installation crews. </w:t>
      </w:r>
    </w:p>
    <w:p w:rsidR="00E4078C" w:rsidRDefault="009760CB">
      <w:pPr>
        <w:pStyle w:val="Heading3"/>
      </w:pPr>
      <w:r>
        <w:rPr>
          <w:i/>
        </w:rPr>
        <w:t>Shop Drawings Engineering Requirements:</w:t>
      </w:r>
      <w:r>
        <w:t xml:space="preserve">  Some shop drawings require an engineer stamp to be affixed on the drawings and calculations.  In such cases, a current and valid engineering stamp shall be affixed by a California</w:t>
      </w:r>
      <w:r>
        <w:t xml:space="preserve"> registered engineer.  No out of State engineers shall stamp Shop Drawings. (See DSA IR A-18).  In most cases, an engineer means California registered mechanical, structural, electrical or plumbing engineer.  California Registered Civil Engineers will not </w:t>
      </w:r>
      <w:r>
        <w:t xml:space="preserve">be accepted for structural details unless specifically approved by DSA. </w:t>
      </w:r>
    </w:p>
    <w:p w:rsidR="00E4078C" w:rsidRDefault="009760CB">
      <w:pPr>
        <w:pStyle w:val="Heading3"/>
      </w:pPr>
      <w:r>
        <w:rPr>
          <w:i/>
        </w:rPr>
        <w:t>DSA Approvals Required Prior to Work.</w:t>
      </w:r>
      <w:r>
        <w:t xml:space="preserve">  No work on a Shop Drawing that requires DSA approval may proceed until DSA approval is received.  Contractor has provided DSA approval time and </w:t>
      </w:r>
      <w:r>
        <w:t xml:space="preserve">allowed adequate time for corrections in Contractor’s Schedule as required pursuant to Article </w:t>
      </w:r>
      <w:r>
        <w:t>9</w:t>
      </w:r>
      <w:r>
        <w:t>.</w:t>
      </w:r>
    </w:p>
    <w:p w:rsidR="00E4078C" w:rsidRDefault="009760CB">
      <w:pPr>
        <w:pStyle w:val="Heading3"/>
      </w:pPr>
      <w:r>
        <w:rPr>
          <w:i/>
        </w:rPr>
        <w:t xml:space="preserve">Shop Drawing Identification. </w:t>
      </w:r>
      <w:r>
        <w:t xml:space="preserve"> All Shop Drawings must be properly identified with the name of the Project and dated, and accompanied by a letter of transmittal</w:t>
      </w:r>
      <w:r>
        <w:t xml:space="preserve"> referring to the name of the Project and to the Specification section number for identification of each item clearly stating in narrative form, as well as “clouding” all qualifications, departures, or deviations from the Contract Documents.  Shop drawings</w:t>
      </w:r>
      <w:r>
        <w:t>, for each section of the Work shall be numbered consecutively and the numbering system shall be retained throughout all revisions.  All Subcontractor submissions shall be made through the Contractor.  Each drawing shall have a clear space for the stamps o</w:t>
      </w:r>
      <w:r>
        <w:t>f Architect and Contractor.</w:t>
      </w:r>
    </w:p>
    <w:p w:rsidR="00E4078C" w:rsidRDefault="009760CB">
      <w:pPr>
        <w:pStyle w:val="Heading2"/>
      </w:pPr>
      <w:bookmarkStart w:id="91" w:name="_Ref472589689"/>
      <w:r>
        <w:rPr>
          <w:u w:val="single"/>
        </w:rPr>
        <w:t>Deferred Approvals.</w:t>
      </w:r>
      <w:r>
        <w:t xml:space="preserve"> Deferred approvals shall be submitted and processed to ensure all DSA and other governmental approvals are secured so as to not delay the Project.  There may be additional requir</w:t>
      </w:r>
      <w:r>
        <w:t xml:space="preserve">ements for deferred approvals </w:t>
      </w:r>
      <w:r>
        <w:t>in</w:t>
      </w:r>
      <w:r>
        <w:t xml:space="preserve"> Division 1 of the Specifications. All deferred approvals shall be prepared by Contractor or Contractor’s agent early enough so as to not delay the Project.  Contractor is aware that Title 24 California Code o</w:t>
      </w:r>
      <w:r>
        <w:t>f Regulations Section 4-317 has</w:t>
      </w:r>
      <w:r>
        <w:t xml:space="preserve"> specific requ</w:t>
      </w:r>
      <w:r>
        <w:t>irements for deferred approval</w:t>
      </w:r>
      <w:r>
        <w:t>s</w:t>
      </w:r>
      <w:r>
        <w:t xml:space="preserve"> as to governing agencies and as to the Architect and Engineer for the Project.  As a result, any delay associated with the time for approval by applicable agencies or by the Architect or Architect’s consultants shall be Cont</w:t>
      </w:r>
      <w:r>
        <w:t xml:space="preserve">ractor’s. Contractor is required to comply with inclusion of Deferred Approvals in the Schedule as required under Article </w:t>
      </w:r>
      <w:bookmarkEnd w:id="91"/>
      <w:r>
        <w:t>9</w:t>
      </w:r>
    </w:p>
    <w:p w:rsidR="00E4078C" w:rsidRDefault="009760CB">
      <w:pPr>
        <w:pStyle w:val="Heading3"/>
      </w:pPr>
      <w:r>
        <w:rPr>
          <w:i/>
        </w:rPr>
        <w:t>DSA Approvals Required Prior to Work.</w:t>
      </w:r>
      <w:r>
        <w:t xml:space="preserve">  No work on a deferred approval item may proceed on the components until DSA approval is recei</w:t>
      </w:r>
      <w:r>
        <w:t xml:space="preserve">ved.  Contractor has provided DSA approval time and allowed adequate time for any DSA revisions in Contractor’s Schedule as required pursuant to Article </w:t>
      </w:r>
      <w:r>
        <w:t>9</w:t>
      </w:r>
      <w:r>
        <w:t>.</w:t>
      </w:r>
    </w:p>
    <w:p w:rsidR="00E4078C" w:rsidRDefault="009760CB">
      <w:pPr>
        <w:pStyle w:val="Heading2"/>
      </w:pPr>
      <w:r>
        <w:t>Submittals and Samples</w:t>
      </w:r>
    </w:p>
    <w:p w:rsidR="00E4078C" w:rsidRDefault="009760CB">
      <w:pPr>
        <w:pStyle w:val="Heading3"/>
      </w:pPr>
      <w:r>
        <w:rPr>
          <w:i/>
        </w:rPr>
        <w:t>Information Required With Submittals</w:t>
      </w:r>
      <w:r>
        <w:t>:  Manufacturer, trade name, model or typ</w:t>
      </w:r>
      <w:r>
        <w:t>e number and quantities: Information provided must be of sufficient detail to allow Architect and Engineer to compare the submitted item with the specified products and acceptable products listed, in the specification and addenda.</w:t>
      </w:r>
    </w:p>
    <w:p w:rsidR="00E4078C" w:rsidRDefault="009760CB">
      <w:pPr>
        <w:pStyle w:val="Heading3"/>
      </w:pPr>
      <w:r>
        <w:rPr>
          <w:i/>
        </w:rPr>
        <w:t>Description of Use and Pe</w:t>
      </w:r>
      <w:r>
        <w:rPr>
          <w:i/>
        </w:rPr>
        <w:t>rformance Characteristics:</w:t>
      </w:r>
      <w:r>
        <w:t xml:space="preserve"> Information should be furnished describing the normal use and expected performance of the product. The Architect and Contractor review this information to confirm that the product is appropriate for the intended use.</w:t>
      </w:r>
    </w:p>
    <w:p w:rsidR="00E4078C" w:rsidRDefault="009760CB">
      <w:pPr>
        <w:pStyle w:val="Heading3"/>
      </w:pPr>
      <w:r>
        <w:rPr>
          <w:i/>
        </w:rPr>
        <w:lastRenderedPageBreak/>
        <w:t>Size and Phy</w:t>
      </w:r>
      <w:r>
        <w:rPr>
          <w:i/>
        </w:rPr>
        <w:t>sical Characteristics:</w:t>
      </w:r>
      <w:r>
        <w:t xml:space="preserve"> The size and physical characteristics, such as adjustment capabilities, which is reviewed by both the Contractor and Architect. The Contractor has the most available information for comparing adjoining materials and equipment. The Co</w:t>
      </w:r>
      <w:r>
        <w:t>ntractor also needs to know the size and weight of the equipment for lifting and handling considerations.</w:t>
      </w:r>
    </w:p>
    <w:p w:rsidR="00E4078C" w:rsidRDefault="009760CB">
      <w:pPr>
        <w:pStyle w:val="Heading3"/>
      </w:pPr>
      <w:r>
        <w:rPr>
          <w:i/>
        </w:rPr>
        <w:t xml:space="preserve">Finish Characteristics: </w:t>
      </w:r>
      <w:r>
        <w:t>The Architect reviews the available finishes and selects the appropriate finish, if the finish was not previously specified in</w:t>
      </w:r>
      <w:r>
        <w:t xml:space="preserve"> the documents. The Contractor should confirm that finish requirements in the specification are being met by the product.</w:t>
      </w:r>
    </w:p>
    <w:p w:rsidR="00E4078C" w:rsidRDefault="009760CB">
      <w:pPr>
        <w:pStyle w:val="Heading3"/>
      </w:pPr>
      <w:r>
        <w:rPr>
          <w:i/>
        </w:rPr>
        <w:t>Contractor Responsible for Jobsite Dimensions</w:t>
      </w:r>
      <w:r>
        <w:t>: Some material is custom-fabricated to job conditions, requiring dimensions from the job</w:t>
      </w:r>
      <w:r>
        <w:t>site. These jobsite dimensions are provided by the Contractor as part of the Contractor’s responsibilities for the Project and shall be provided prior to release of the product for manufacture.  Contractor shall not rely on Architect or Engineers to provid</w:t>
      </w:r>
      <w:r>
        <w:t>e jobsite dimensions.</w:t>
      </w:r>
    </w:p>
    <w:p w:rsidR="00E4078C" w:rsidRDefault="009760CB">
      <w:pPr>
        <w:pStyle w:val="Heading3"/>
      </w:pPr>
      <w:r>
        <w:rPr>
          <w:i/>
        </w:rPr>
        <w:t>Full Range of Samples Required (When Specific Items Not Specified).</w:t>
      </w:r>
      <w:r>
        <w:t xml:space="preserve">  Except in cases where the exact color and type of item is specified since the District is utilizing items Standardized or pre-selected by District, the full range of</w:t>
      </w:r>
      <w:r>
        <w:t xml:space="preserve"> color, graining, texture, or other characteristics are anticipated for review in finished products, a sufficient number of samples of the specified materials shall be furnished by the Contractor to indicate the full range of characteristics which will be </w:t>
      </w:r>
      <w:r>
        <w:t>present in the finished products.  Products delivered or erected without Submittal and approval without providing a full range of samples shall be subject to rejection.  Except for range samples, and unless otherwise called for in the various sections of t</w:t>
      </w:r>
      <w:r>
        <w:t xml:space="preserve">he Specifications, samples shall be submitted in duplicate.  </w:t>
      </w:r>
    </w:p>
    <w:p w:rsidR="00E4078C" w:rsidRDefault="009760CB">
      <w:pPr>
        <w:pStyle w:val="Heading3"/>
      </w:pPr>
      <w:r>
        <w:rPr>
          <w:i/>
        </w:rPr>
        <w:t>Labeling of Samples.</w:t>
      </w:r>
      <w:r>
        <w:t xml:space="preserve">  All samples shall be marked, tagged, or otherwise properly identified with the name of the submitting party, the name of the Project, the purpose for which the samples are </w:t>
      </w:r>
      <w:r>
        <w:t>submitted and the date.</w:t>
      </w:r>
    </w:p>
    <w:p w:rsidR="00E4078C" w:rsidRDefault="009760CB">
      <w:pPr>
        <w:pStyle w:val="Heading3"/>
      </w:pPr>
      <w:r>
        <w:rPr>
          <w:i/>
        </w:rPr>
        <w:t xml:space="preserve">Transmittal letter. </w:t>
      </w:r>
      <w:r>
        <w:t xml:space="preserve"> All samples shall be accompanied by a letter of transmittal containing similar information, together with the Specification section number.  </w:t>
      </w:r>
    </w:p>
    <w:p w:rsidR="00E4078C" w:rsidRDefault="009760CB">
      <w:pPr>
        <w:pStyle w:val="Heading3"/>
      </w:pPr>
      <w:r>
        <w:rPr>
          <w:i/>
        </w:rPr>
        <w:t xml:space="preserve"> Labels and Instructions</w:t>
      </w:r>
      <w:r>
        <w:t>.  All samples of materials shall be supplied</w:t>
      </w:r>
      <w:r>
        <w:t xml:space="preserve"> with the manufacturer’s descriptive labels and application instructions.  Each tag or sticker shall have clear space for the review stamps of Contractor and Architect.  </w:t>
      </w:r>
    </w:p>
    <w:p w:rsidR="00E4078C" w:rsidRDefault="009760CB">
      <w:pPr>
        <w:pStyle w:val="Heading3"/>
      </w:pPr>
      <w:r>
        <w:rPr>
          <w:i/>
        </w:rPr>
        <w:t xml:space="preserve">Architect’s Review. </w:t>
      </w:r>
      <w:r>
        <w:t xml:space="preserve"> The Architect will review and, if appropriate, approve submissio</w:t>
      </w:r>
      <w:r>
        <w:t xml:space="preserve">ns and will return them to the Contractor with the Architect’s stamp and signature applied thereto, indicating the timing for review and appropriate action in compliance with the Architect’s (or District’s) standard procedures.  In the cases where a CM is </w:t>
      </w:r>
      <w:r>
        <w:t>hired by the District, CM may be the party that receives and performance logging and initial processing of the Samples.  CM may, in some cases, reject samples that are not in conformance with Contract requirements.</w:t>
      </w:r>
    </w:p>
    <w:p w:rsidR="00E4078C" w:rsidRDefault="009760CB">
      <w:pPr>
        <w:pStyle w:val="Heading2"/>
      </w:pPr>
      <w:r>
        <w:t>Submittal Submission Procedure</w:t>
      </w:r>
    </w:p>
    <w:p w:rsidR="00E4078C" w:rsidRDefault="009760CB">
      <w:pPr>
        <w:pStyle w:val="Heading3"/>
      </w:pPr>
      <w:r>
        <w:rPr>
          <w:i/>
        </w:rPr>
        <w:t>Transmitta</w:t>
      </w:r>
      <w:r>
        <w:rPr>
          <w:i/>
        </w:rPr>
        <w:t>l Letter and Other Requirements.</w:t>
      </w:r>
      <w:r>
        <w:t xml:space="preserve">  All Submittals must be properly identified with the name of the Project and dated, and each lot submitted must be accompanied by a letter of transmittal referring to the name of the Project and to the Specification section</w:t>
      </w:r>
      <w:r>
        <w:t xml:space="preserve"> number for identification of each item clearly stating in narrative form, as well as “clouding” on the submissions, all qualifications, departures, or deviations from the Contract Documents.  Shop drawings, for each section of the Work shall be numbered c</w:t>
      </w:r>
      <w:r>
        <w:t xml:space="preserve">onsecutively and the numbering system shall be retained </w:t>
      </w:r>
      <w:r>
        <w:lastRenderedPageBreak/>
        <w:t xml:space="preserve">throughout all revisions.  All Subcontractor submissions shall be made through the Contractor.  Each drawing shall have a clear space for the stamps of Architect and Contractor.   In the case where a </w:t>
      </w:r>
      <w:r>
        <w:t>CM is hired on the Project, the CM may be designated to receive the Submittals for the Project, log the Submittals, and in some cases reject Submittals that do not con</w:t>
      </w:r>
      <w:r>
        <w:t>form to Contract requirements.</w:t>
      </w:r>
    </w:p>
    <w:p w:rsidR="00E4078C" w:rsidRDefault="009760CB">
      <w:pPr>
        <w:pStyle w:val="Heading3"/>
      </w:pPr>
      <w:r>
        <w:rPr>
          <w:i/>
        </w:rPr>
        <w:t>Copies Required.</w:t>
      </w:r>
      <w:r>
        <w:t xml:space="preserve">  Each Submittal shall include one (1) leg</w:t>
      </w:r>
      <w:r>
        <w:t>ible, reproducible (if electronic is available, electronic copies shall also be provided) and five (5) legible prints of each drawing or schedule, table, cut sheet, etc., including fabrication, erection, layout and setting drawings, and such other drawings</w:t>
      </w:r>
      <w:r>
        <w:t xml:space="preserve"> as required under the various sections of the Specifications, until final acceptance thereof is obtained.  Subcontractor shall submit copies, in an amount as requested by the Contractor, of: (1) manufacturers’ descriptive data for materials, equipment, an</w:t>
      </w:r>
      <w:r>
        <w:t xml:space="preserve">d fixtures, including catalog sheets showing dimensions, performance, characteristics, and capacities; (2) wiring diagrams and controls; (3) schedules; (4) all seismic calculations and other calculations; and (5) other pertinent information as required by </w:t>
      </w:r>
      <w:r>
        <w:t xml:space="preserve">the District or Architect.  </w:t>
      </w:r>
    </w:p>
    <w:p w:rsidR="00E4078C" w:rsidRDefault="009760CB">
      <w:pPr>
        <w:pStyle w:val="Heading3"/>
      </w:pPr>
      <w:r>
        <w:rPr>
          <w:i/>
        </w:rPr>
        <w:t>Corrections</w:t>
      </w:r>
      <w:r>
        <w:t>.  The Contractor shall make all corrections required by Architect, District or CM and shall resubmit, as required by Architect or CM, corrected copies of Shop Drawings or new samples until approved.  Contractor shal</w:t>
      </w:r>
      <w:r>
        <w:t>l direct specific attention in writing or on resubmitted Shop Drawings to revisions other than the corrections required by the Architect on previous submissions.  Professional services required for more than one (1) re-review of required Submittals of Shop</w:t>
      </w:r>
      <w:r>
        <w:t xml:space="preserve"> Drawings, product data, or samples are subject to charge to the Contractor pursuant to Article </w:t>
      </w:r>
      <w:r>
        <w:t>10.4</w:t>
      </w:r>
      <w:r>
        <w:t>.</w:t>
      </w:r>
    </w:p>
    <w:p w:rsidR="00E4078C" w:rsidRDefault="009760CB">
      <w:pPr>
        <w:pStyle w:val="Heading3"/>
      </w:pPr>
      <w:r>
        <w:rPr>
          <w:i/>
        </w:rPr>
        <w:t>Approval Prior to Commencement of Work.</w:t>
      </w:r>
      <w:r>
        <w:t xml:space="preserve">  No portion of the Work requiring a shop drawing or sample submission or other Submittal shall be commenced until </w:t>
      </w:r>
      <w:r>
        <w:t>the submission has been reviewed by Contractor and Architect (and CM, if applicable) and approved by Architect (and CM where applicable) unless specifically directed in writing by the Architect.  All such portions of the Work shall be in accordance with ap</w:t>
      </w:r>
      <w:r>
        <w:t xml:space="preserve">proved Shop Drawings and samples.  </w:t>
      </w:r>
    </w:p>
    <w:p w:rsidR="00E4078C" w:rsidRDefault="009760CB">
      <w:pPr>
        <w:pStyle w:val="Heading3"/>
      </w:pPr>
      <w:r>
        <w:rPr>
          <w:i/>
        </w:rPr>
        <w:t xml:space="preserve">District’s Property.  </w:t>
      </w:r>
      <w:r>
        <w:t>All Submittals, Shop Drawings, computer disks, constructability reviews, schedules, annotated specifications, samples and other Submittals shall become the District’s property upon receipt by the Di</w:t>
      </w:r>
      <w:r>
        <w:t>strict or Architect.</w:t>
      </w:r>
    </w:p>
    <w:p w:rsidR="00E4078C" w:rsidRDefault="009760CB">
      <w:pPr>
        <w:pStyle w:val="Heading2"/>
      </w:pPr>
      <w:bookmarkStart w:id="92" w:name="_Ref472589681"/>
      <w:r>
        <w:rPr>
          <w:u w:val="single"/>
        </w:rPr>
        <w:t>Schedule Requirements for Submittals.</w:t>
      </w:r>
      <w:r>
        <w:t xml:space="preserve">  Contractor shall obtain and shall submit all required Submittals (i.e. Shop Drawings, Deferred Approvals, Samples, etc.), in accordance with Contractor’s “Schedule for Submission of Shop Drawings and Samples” as required in the scheduling portion of the </w:t>
      </w:r>
      <w:r>
        <w:t xml:space="preserve">CSA at Article </w:t>
      </w:r>
      <w:r>
        <w:t>9</w:t>
      </w:r>
      <w:r>
        <w:t xml:space="preserve"> and the Specifications (as long as the Specifications do not conflict with CSA. In the case of conflict, the conflicting provision shall be controlled by the CSA and the remaining specification sections shall be interpreted as if the CSA l</w:t>
      </w:r>
      <w:r>
        <w:t xml:space="preserve">anguage is inserted) with such promptness as to cause no delay in its own Work or in that of any other contractor or </w:t>
      </w:r>
      <w:r>
        <w:t>Subcontractor</w:t>
      </w:r>
      <w:r>
        <w:t xml:space="preserve"> but in no event later than thirty five (35) days after the Notice to Proceed is issued except in the specific cases noted as </w:t>
      </w:r>
      <w:r>
        <w:t xml:space="preserve">an exception as set forth below.  No extensions of time will be granted to Contractor or any Subcontractor because of its failure to have Shop Drawings and samples submitted in accordance </w:t>
      </w:r>
      <w:r>
        <w:t xml:space="preserve">with this Article </w:t>
      </w:r>
      <w:r>
        <w:t>15</w:t>
      </w:r>
      <w:r>
        <w:t xml:space="preserve"> and the Schedule.  Each Subcontractor shall sub</w:t>
      </w:r>
      <w:r>
        <w:t>mit all Shop Drawings, samples, and manufacturer’s descriptive data for the review of the District, the Contractor, and the Architect through the Contractor.</w:t>
      </w:r>
      <w:bookmarkEnd w:id="92"/>
      <w:r>
        <w:t xml:space="preserve">  </w:t>
      </w:r>
    </w:p>
    <w:p w:rsidR="00E4078C" w:rsidRDefault="009760CB">
      <w:pPr>
        <w:pStyle w:val="Heading3"/>
      </w:pPr>
      <w:r>
        <w:rPr>
          <w:i/>
        </w:rPr>
        <w:t xml:space="preserve">Consideration of Schedule. </w:t>
      </w:r>
      <w:r>
        <w:t xml:space="preserve"> Contractor has considered lead times, DSA or other agency government</w:t>
      </w:r>
      <w:r>
        <w:t xml:space="preserve">al review times, Architect or Engineer review times, manufacturing seasons, and specific long lead procurement concerns for all submittals for the Project. </w:t>
      </w:r>
    </w:p>
    <w:p w:rsidR="00E4078C" w:rsidRDefault="009760CB">
      <w:pPr>
        <w:pStyle w:val="Heading4"/>
      </w:pPr>
      <w:r>
        <w:rPr>
          <w:u w:val="single"/>
        </w:rPr>
        <w:lastRenderedPageBreak/>
        <w:t>All Submittals for the Project</w:t>
      </w:r>
      <w:r w:rsidRPr="00CA04CB">
        <w:t xml:space="preserve"> </w:t>
      </w:r>
      <w:r>
        <w:t xml:space="preserve">except those specifically agreed upon by District and Architect, in </w:t>
      </w:r>
      <w:r>
        <w:t xml:space="preserve">writing, shall be specifically incorporated into the Submittal section of the Schedule so as to not delay the Work.  The agreement to allow a later Submittal does not mean that Article </w:t>
      </w:r>
      <w:r>
        <w:t>15.6</w:t>
      </w:r>
      <w:r>
        <w:t xml:space="preserve"> is waived.  Contractor shall order materials and ensure prices are</w:t>
      </w:r>
      <w:r>
        <w:t xml:space="preserve"> honored and secured for the Project.</w:t>
      </w:r>
    </w:p>
    <w:p w:rsidR="00E4078C" w:rsidRDefault="009760CB">
      <w:pPr>
        <w:pStyle w:val="Heading5"/>
      </w:pPr>
      <w:r>
        <w:t xml:space="preserve">Structural Steel may be included as a Submittal </w:t>
      </w:r>
      <w:r>
        <w:t xml:space="preserve">later </w:t>
      </w:r>
      <w:r>
        <w:t>than 35 days if Structural Steel is a significant portion of the Work, at least one or some of the Project is a structural steel structural system, or as specifical</w:t>
      </w:r>
      <w:r>
        <w:t>ly agreed upon by the Architect or District.</w:t>
      </w:r>
    </w:p>
    <w:p w:rsidR="00E4078C" w:rsidRDefault="009760CB">
      <w:pPr>
        <w:pStyle w:val="Heading5"/>
      </w:pPr>
      <w:r>
        <w:t xml:space="preserve">It is specifically agreed that submissions of structural steel Submittals shall not be piecemeal (unless some portion is requested separately by the Owner or Architect), shall provide complete designs, shall be </w:t>
      </w:r>
      <w:r>
        <w:t xml:space="preserve">stamped by the Structural Steel </w:t>
      </w:r>
      <w:r>
        <w:t>Subcontractor</w:t>
      </w:r>
      <w:r>
        <w:t>, Contractor, and Structural Steel Subcontractor’s structural engineer at time of submission and as further addressed in this Article.</w:t>
      </w:r>
    </w:p>
    <w:p w:rsidR="00E4078C" w:rsidRDefault="009760CB">
      <w:pPr>
        <w:pStyle w:val="Heading5"/>
      </w:pPr>
      <w:r>
        <w:t xml:space="preserve">In no case shall the submission of Structural Steel Drawings delay the </w:t>
      </w:r>
      <w:r>
        <w:t>critical path for the schedule.  If a Milestone is provided for submission of complete structural steel Shop Drawings then the date shall be no later than as set forth in the Milestone</w:t>
      </w:r>
    </w:p>
    <w:p w:rsidR="00E4078C" w:rsidRDefault="009760CB">
      <w:pPr>
        <w:pStyle w:val="Heading4"/>
      </w:pPr>
      <w:r>
        <w:rPr>
          <w:u w:val="single"/>
        </w:rPr>
        <w:t>Exceptions to Submittal Within Thirty-Five (35) Days by Written Agreeme</w:t>
      </w:r>
      <w:r>
        <w:rPr>
          <w:u w:val="single"/>
        </w:rPr>
        <w:t xml:space="preserve">nt. </w:t>
      </w:r>
      <w:r>
        <w:t xml:space="preserve"> A written request detailing the specific reasons for a submission later than 35 days due to complexity of design, or non-critical path status of the Submittal shall be submitted at the time the Baseline Schedule is submitted.   The Baseline Schedule s</w:t>
      </w:r>
      <w:r>
        <w:t xml:space="preserve">hall not include a delayed Submittal until written agreement is provided.  In addition to the request for providing a Submittal after the thirty-five (35) day period, a copy of the Contract with the </w:t>
      </w:r>
      <w:r>
        <w:t>Subcontractor</w:t>
      </w:r>
      <w:r>
        <w:t xml:space="preserve"> who shall be performing the Submittal, a wr</w:t>
      </w:r>
      <w:r>
        <w:t xml:space="preserve">itten statement from the </w:t>
      </w:r>
      <w:r>
        <w:t>Subcontractor</w:t>
      </w:r>
      <w:r>
        <w:t xml:space="preserve"> verifying that work has commenced on the Submittal and providing </w:t>
      </w:r>
      <w:r>
        <w:t>Subcontractor</w:t>
      </w:r>
      <w:r>
        <w:t xml:space="preserve">’s own schedule of milestones and completion dates, and a corresponding Submittal designation in the Schedule as required under Article </w:t>
      </w:r>
      <w:r>
        <w:t>9</w:t>
      </w:r>
    </w:p>
    <w:p w:rsidR="00E4078C" w:rsidRDefault="009760CB">
      <w:pPr>
        <w:pStyle w:val="Heading5"/>
      </w:pPr>
      <w:r>
        <w:t>A</w:t>
      </w:r>
      <w:r>
        <w:t>pproval of a delayed Submittal shall not result in any increase in the Contract Price or result in an extension of time for the completion of the Project.</w:t>
      </w:r>
    </w:p>
    <w:p w:rsidR="00E4078C" w:rsidRDefault="009760CB">
      <w:pPr>
        <w:pStyle w:val="Heading4"/>
      </w:pPr>
      <w:r>
        <w:rPr>
          <w:u w:val="single"/>
        </w:rPr>
        <w:t>Piecemeal Submissions of Submittals.</w:t>
      </w:r>
      <w:r>
        <w:t xml:space="preserve">  Piecemeal Submittals mean providing portions of Shop Drawings o</w:t>
      </w:r>
      <w:r>
        <w:t>r Submittals as they are being completed.  The submission of piecemeal Submittals results in the appearance of a submission when there is inadequate information for the Architect or Engineer to adequately review a submission.  Piecemeal differs from submis</w:t>
      </w:r>
      <w:r>
        <w:t>sion of complete buildings or phases of buildings or complete assemblies.  The Architect may agree to allow submission of single buildings or areas as long as</w:t>
      </w:r>
      <w:r>
        <w:t xml:space="preserve"> the Submittals are complete.</w:t>
      </w:r>
    </w:p>
    <w:p w:rsidR="00E4078C" w:rsidRDefault="009760CB">
      <w:pPr>
        <w:pStyle w:val="Heading2"/>
        <w:keepNext/>
        <w:rPr>
          <w:u w:val="single"/>
        </w:rPr>
      </w:pPr>
      <w:r>
        <w:rPr>
          <w:u w:val="single"/>
        </w:rPr>
        <w:lastRenderedPageBreak/>
        <w:t>General Submittal Requirements</w:t>
      </w:r>
    </w:p>
    <w:p w:rsidR="00E4078C" w:rsidRDefault="009760CB">
      <w:pPr>
        <w:pStyle w:val="Heading3"/>
      </w:pPr>
      <w:r>
        <w:rPr>
          <w:i/>
        </w:rPr>
        <w:t>Contractor Submittal Representations</w:t>
      </w:r>
      <w:r>
        <w:t>.</w:t>
      </w:r>
      <w:r>
        <w:t xml:space="preserve">  By submitting Shop Drawings, product data, samples, etc., the Contractor represents that it has determined and verified all materials, field measurements, catalog numbers, related field construction criteria, and other relevant data in connection with ea</w:t>
      </w:r>
      <w:r>
        <w:t>ch such submission, and that it has checked, verified, and coordinated the information contained within such Submittals with the requirements of the Work and of the Contract Documents, including the construction schedule.</w:t>
      </w:r>
    </w:p>
    <w:p w:rsidR="00E4078C" w:rsidRDefault="009760CB">
      <w:pPr>
        <w:pStyle w:val="Heading3"/>
      </w:pPr>
      <w:r>
        <w:rPr>
          <w:i/>
        </w:rPr>
        <w:t xml:space="preserve">Contractor Coordination. </w:t>
      </w:r>
      <w:r>
        <w:t xml:space="preserve"> By submi</w:t>
      </w:r>
      <w:r>
        <w:t xml:space="preserve">tting Shop Drawings, Submittals, product data, samples, etc., the Contractor represents that it has determined and verified all materials, field measurements, catalog numbers, related field construction criteria, and other relevant data in connection with </w:t>
      </w:r>
      <w:r>
        <w:t>each such submission, and that it has checked, verified, and coordinated the information contained within such Submittals with the requirements of the Work and of the Contract Documents, including the construction schedule.  Contractor shall stamp, sign, a</w:t>
      </w:r>
      <w:r>
        <w:t>nd date each Submittal indicating its representation that the Submittal meets all of the requirements of the Contract Documents and evidence Contractor’s review through execution of the following stamp to be placed on each Shop Drawings:</w:t>
      </w:r>
    </w:p>
    <w:p w:rsidR="00E4078C" w:rsidRDefault="009760CB">
      <w:pPr>
        <w:pStyle w:val="BodyTextFlush"/>
        <w:spacing w:before="200"/>
        <w:ind w:left="3240"/>
        <w:rPr>
          <w:sz w:val="20"/>
          <w:szCs w:val="20"/>
        </w:rPr>
      </w:pPr>
      <w:r>
        <w:rPr>
          <w:sz w:val="20"/>
          <w:szCs w:val="20"/>
        </w:rPr>
        <w:t xml:space="preserve">“The [contractor] </w:t>
      </w:r>
      <w:r>
        <w:rPr>
          <w:sz w:val="20"/>
          <w:szCs w:val="20"/>
        </w:rPr>
        <w:t xml:space="preserve">has reviewed and approved the field dimensions and the construction criteria, and has also made written notation regarding any information in the Shop Drawings and Submittals that does not conform to the Contract Documents.  This Shop Drawing or Submittal </w:t>
      </w:r>
      <w:r>
        <w:rPr>
          <w:sz w:val="20"/>
          <w:szCs w:val="20"/>
        </w:rPr>
        <w:t xml:space="preserve">has been coordinated with all other Shop Drawings and Submittals received to date by me as Contractor and this duty of coordination has not been delegated to </w:t>
      </w:r>
      <w:r>
        <w:rPr>
          <w:sz w:val="20"/>
          <w:szCs w:val="20"/>
        </w:rPr>
        <w:t>Subcontractor</w:t>
      </w:r>
      <w:r>
        <w:rPr>
          <w:sz w:val="20"/>
          <w:szCs w:val="20"/>
        </w:rPr>
        <w:t>s, material suppliers, the Architect, or the Engineers on this Project.</w:t>
      </w:r>
    </w:p>
    <w:p w:rsidR="00E4078C" w:rsidRDefault="009760CB">
      <w:pPr>
        <w:pStyle w:val="BodyTextFlush"/>
        <w:spacing w:before="200"/>
        <w:ind w:left="6480" w:hanging="3240"/>
        <w:rPr>
          <w:sz w:val="20"/>
          <w:szCs w:val="20"/>
        </w:rPr>
      </w:pPr>
      <w:r>
        <w:rPr>
          <w:sz w:val="20"/>
          <w:szCs w:val="20"/>
        </w:rPr>
        <w:tab/>
        <w:t>____________</w:t>
      </w:r>
      <w:r>
        <w:rPr>
          <w:sz w:val="20"/>
          <w:szCs w:val="20"/>
        </w:rPr>
        <w:t>_______________</w:t>
      </w:r>
      <w:r>
        <w:rPr>
          <w:sz w:val="20"/>
          <w:szCs w:val="20"/>
        </w:rPr>
        <w:br/>
        <w:t>Signature of Contractor and date</w:t>
      </w:r>
    </w:p>
    <w:p w:rsidR="00E4078C" w:rsidRDefault="009760CB">
      <w:pPr>
        <w:pStyle w:val="Heading3"/>
      </w:pPr>
      <w:r>
        <w:rPr>
          <w:i/>
        </w:rPr>
        <w:t>No Deviation from Contract Documents.</w:t>
      </w:r>
      <w:r>
        <w:t xml:space="preserve">  The submission of the Shop Drawings, product data, samples, etc., shall not deviate from the requirements of the Contract Documents including detailing and design inten</w:t>
      </w:r>
      <w:r>
        <w:t xml:space="preserve">t which is specifically outlined in Contract Documents except as specifically authorized by the Architect or through an accepted substitution pursuant to Article </w:t>
      </w:r>
      <w:r>
        <w:t>16</w:t>
      </w:r>
      <w:r>
        <w:t>.  All deviations from the Contract Documents shall be narratively described in a transmitta</w:t>
      </w:r>
      <w:r>
        <w:t xml:space="preserve">l accompanying the Shop Drawings.  However, Shop Drawings shall not be used as a means of requesting a substitution, the procedure for which is defined in Article </w:t>
      </w:r>
      <w:r>
        <w:t>16</w:t>
      </w:r>
      <w:r>
        <w:t xml:space="preserve">, “Substitutions.”  </w:t>
      </w:r>
    </w:p>
    <w:p w:rsidR="00E4078C" w:rsidRDefault="009760CB">
      <w:pPr>
        <w:pStyle w:val="Heading3"/>
      </w:pPr>
      <w:r>
        <w:rPr>
          <w:i/>
        </w:rPr>
        <w:t>Contractor Responsibility for Shop Drawings Conformance to Contract Do</w:t>
      </w:r>
      <w:r>
        <w:rPr>
          <w:i/>
        </w:rPr>
        <w:t xml:space="preserve">cuments.  </w:t>
      </w:r>
      <w:r>
        <w:t xml:space="preserve">Review by District and Architect shall not relieve the Contractor or any Subcontractor from its responsibility in preparing and submitting proper Shop Drawings in accordance with the Contract Documents.  </w:t>
      </w:r>
    </w:p>
    <w:p w:rsidR="00E4078C" w:rsidRDefault="009760CB">
      <w:pPr>
        <w:pStyle w:val="Heading3"/>
      </w:pPr>
      <w:r>
        <w:rPr>
          <w:i/>
        </w:rPr>
        <w:t xml:space="preserve">Incomplete Submittals.  </w:t>
      </w:r>
      <w:r>
        <w:t>Any submission, w</w:t>
      </w:r>
      <w:r>
        <w:t xml:space="preserve">hich in Architect’s opinion is incomplete, contains errors, or has been checked superficially will be returned unreviewed by the Architect for resubmission by the Contractor.  </w:t>
      </w:r>
    </w:p>
    <w:p w:rsidR="00E4078C" w:rsidRDefault="009760CB">
      <w:pPr>
        <w:pStyle w:val="Heading3"/>
      </w:pPr>
      <w:r>
        <w:rPr>
          <w:i/>
        </w:rPr>
        <w:t>Shop Drawings and Submittals Shall Not Be Used as a Method to Make a Substituti</w:t>
      </w:r>
      <w:r>
        <w:rPr>
          <w:i/>
        </w:rPr>
        <w:t xml:space="preserve">on. </w:t>
      </w:r>
      <w:r>
        <w:t xml:space="preserve"> Shop drawings and Submittals shall not be used as a means of requesting a substitution or to make changes in the Contract Documents.  If changes are made to the Contract Documents through the Shop Drawings, the Architect shall have the right to reject</w:t>
      </w:r>
      <w:r>
        <w:t xml:space="preserve"> the Submittal.  If the Architect does not note the deviation from </w:t>
      </w:r>
      <w:r>
        <w:lastRenderedPageBreak/>
        <w:t xml:space="preserve">the approved </w:t>
      </w:r>
      <w:r>
        <w:t>Construction Documents</w:t>
      </w:r>
      <w:r>
        <w:t>, the Contractor is still responsible for the change and the Architect or the District may require the Shop Drawings be revised to properly reflect the ap</w:t>
      </w:r>
      <w:r>
        <w:t xml:space="preserve">proved Contract Documents.  The Architect or District may also require that the Contractor bear all costs under Article </w:t>
      </w:r>
      <w:r>
        <w:t>10.4</w:t>
      </w:r>
      <w:r>
        <w:t xml:space="preserve"> and consequential damages associated with a CCD to revise </w:t>
      </w:r>
      <w:r>
        <w:t>Construction Documents</w:t>
      </w:r>
      <w:r>
        <w:t xml:space="preserve"> to accommodate the deviation from approved </w:t>
      </w:r>
      <w:r>
        <w:t>Construction Documents</w:t>
      </w:r>
      <w:r>
        <w:t xml:space="preserve">.  </w:t>
      </w:r>
    </w:p>
    <w:p w:rsidR="00E4078C" w:rsidRDefault="009760CB">
      <w:pPr>
        <w:pStyle w:val="Heading3"/>
      </w:pPr>
      <w:r>
        <w:rPr>
          <w:i/>
        </w:rPr>
        <w:t xml:space="preserve">Extent of Review. </w:t>
      </w:r>
      <w:r>
        <w:t xml:space="preserve"> In reviewing Shop Drawings, the Architect will not verify dimensions and field conditions.  The Architect will review and approve Shop Drawings, product data, samples, etc., for aesthetics and for conformance wi</w:t>
      </w:r>
      <w:r>
        <w:t xml:space="preserve">th the design concept of the Work and the information in the Contract Documents.  The Architect’s review shall neither be construed as a complete check which relieves the Contractor, Subcontractor, manufacturer, fabricator, or supplier from responsibility </w:t>
      </w:r>
      <w:r>
        <w:t>for any deficiency that may exist or from any departures or deviations from the requirements of the Contract Documents unless the Contractor has, in writing, called the Architect’s attention to the deviations at the time of submission.  The Architect’s rev</w:t>
      </w:r>
      <w:r>
        <w:t xml:space="preserve">iew shall not relieve the Contractor or Subcontractors from responsibility for errors of any sort in Shop Drawings or schedules, for proper fitting of the Work, coordination of the differing </w:t>
      </w:r>
      <w:r>
        <w:t>Subcontractor</w:t>
      </w:r>
      <w:r>
        <w:t xml:space="preserve"> trades and Shop Drawings and Work which is not indi</w:t>
      </w:r>
      <w:r>
        <w:t xml:space="preserve">cated on the Shop Drawings at the time of submission of Shop Drawings.  Contractor and Subcontractors shall be solely responsible for any quantities which may be shown on the Submittals or Contract Documents.  </w:t>
      </w:r>
    </w:p>
    <w:p w:rsidR="00E4078C" w:rsidRDefault="009760CB">
      <w:pPr>
        <w:pStyle w:val="Heading1"/>
      </w:pPr>
      <w:bookmarkStart w:id="93" w:name="_Toc256000017"/>
      <w:bookmarkStart w:id="94" w:name="_Toc365549829"/>
      <w:bookmarkStart w:id="95" w:name="_Toc472525897"/>
      <w:bookmarkStart w:id="96" w:name="_Ref472587765"/>
      <w:bookmarkStart w:id="97" w:name="_Ref472588429"/>
      <w:bookmarkStart w:id="98" w:name="_Ref472595042"/>
      <w:bookmarkStart w:id="99" w:name="_Ref472595437"/>
      <w:bookmarkStart w:id="100" w:name="_Ref472595443"/>
      <w:r>
        <w:t>REQUEST FOR SUBSTITUTIONS</w:t>
      </w:r>
      <w:bookmarkEnd w:id="93"/>
      <w:bookmarkEnd w:id="94"/>
      <w:bookmarkEnd w:id="95"/>
      <w:bookmarkEnd w:id="96"/>
      <w:bookmarkEnd w:id="97"/>
      <w:bookmarkEnd w:id="98"/>
      <w:bookmarkEnd w:id="99"/>
      <w:bookmarkEnd w:id="100"/>
    </w:p>
    <w:p w:rsidR="00E4078C" w:rsidRDefault="009760CB">
      <w:pPr>
        <w:pStyle w:val="Heading2"/>
      </w:pPr>
      <w:r>
        <w:t>For purposes of thi</w:t>
      </w:r>
      <w:r>
        <w:t>s provision the term “substitution” shall mean a change in product, material, equipment, or method of construction from those required by the Construction Documents proposed by the Contractor.</w:t>
      </w:r>
    </w:p>
    <w:p w:rsidR="00E4078C" w:rsidRDefault="009760CB">
      <w:pPr>
        <w:pStyle w:val="Heading2"/>
      </w:pPr>
      <w:r>
        <w:t>Public Contract Code section 3400 does not apply to this agreem</w:t>
      </w:r>
      <w:r>
        <w:t>ent since the materials, services, and equipment used has been investigated as part of the Due Diligence investigation by Contractor and incorporated in the overall GMP.</w:t>
      </w:r>
    </w:p>
    <w:p w:rsidR="00E4078C" w:rsidRDefault="009760CB">
      <w:pPr>
        <w:pStyle w:val="Heading2"/>
      </w:pPr>
      <w:r>
        <w:t>Contractor may submit requests together with substantiating data for substitution of a</w:t>
      </w:r>
      <w:r>
        <w:t xml:space="preserve">ny “or equal” material, process or article.  Any savings generated from the substitution shall be considered Project Savings under Article </w:t>
      </w:r>
      <w:r>
        <w:t>7</w:t>
      </w:r>
      <w:r>
        <w:t>.  The District shall not be responsible for any costs of Contractor associated with “or equal” substitution request</w:t>
      </w:r>
      <w:r>
        <w:t>s.  The District has the complete and sole discretion to determine if a material, process or article is an “or equal” material, process or article that may be substituted. The data required to substantiate requests for substitutions of an “or equal” materi</w:t>
      </w:r>
      <w:r>
        <w:t>al, process or article data shall include a signed affidavit from the Contractor stating that the substituted “or equal” material, process or article is equivalent to that specified in the specification in every way except as listed on the affidavit.  Subs</w:t>
      </w:r>
      <w:r>
        <w:t>tantiating data shall also include</w:t>
      </w:r>
      <w:r>
        <w:t>:</w:t>
      </w:r>
    </w:p>
    <w:p w:rsidR="00E4078C" w:rsidRDefault="009760CB">
      <w:pPr>
        <w:pStyle w:val="ListNumberIndent"/>
        <w:ind w:left="2160" w:hanging="720"/>
      </w:pPr>
      <w:r>
        <w:t>Is equal in quality/service/ability to the Specified Item;</w:t>
      </w:r>
    </w:p>
    <w:p w:rsidR="00E4078C" w:rsidRDefault="009760CB">
      <w:pPr>
        <w:pStyle w:val="ListNumberIndent"/>
        <w:ind w:left="2160" w:hanging="720"/>
      </w:pPr>
      <w:r>
        <w:t>Will entail no changes in detail, construction, and scheduling of related work;</w:t>
      </w:r>
    </w:p>
    <w:p w:rsidR="00E4078C" w:rsidRDefault="009760CB">
      <w:pPr>
        <w:pStyle w:val="ListNumberIndent"/>
        <w:ind w:left="2160" w:hanging="720"/>
      </w:pPr>
      <w:r>
        <w:t>Will be acceptable in consideration of the required design and artistic effect;</w:t>
      </w:r>
    </w:p>
    <w:p w:rsidR="00E4078C" w:rsidRDefault="009760CB">
      <w:pPr>
        <w:pStyle w:val="ListNumberIndent"/>
        <w:ind w:left="2160" w:hanging="720"/>
      </w:pPr>
      <w:r>
        <w:t>W</w:t>
      </w:r>
      <w:r>
        <w:t>ill provide no cost disadvantage to the District;</w:t>
      </w:r>
    </w:p>
    <w:p w:rsidR="00E4078C" w:rsidRDefault="009760CB">
      <w:pPr>
        <w:pStyle w:val="ListNumberIndent"/>
        <w:ind w:left="2160" w:hanging="720"/>
      </w:pPr>
      <w:r>
        <w:t>Will require no excessive or more expensive maintenance, including adequacy and availability of replacement parts; and</w:t>
      </w:r>
    </w:p>
    <w:p w:rsidR="00E4078C" w:rsidRDefault="009760CB">
      <w:pPr>
        <w:pStyle w:val="ListNumberIndent"/>
        <w:ind w:left="2160" w:hanging="720"/>
      </w:pPr>
      <w:r>
        <w:t>Will required no change of the construction schedule</w:t>
      </w:r>
    </w:p>
    <w:p w:rsidR="00E4078C" w:rsidRDefault="009760CB">
      <w:pPr>
        <w:pStyle w:val="Heading2"/>
      </w:pPr>
      <w:r>
        <w:lastRenderedPageBreak/>
        <w:t xml:space="preserve">Failure to submit all the needed </w:t>
      </w:r>
      <w:r>
        <w:t>substantiating data, including the signed affidavit, to the Architect in a timely fashion so that the substitution can be adequately reviewed may result in the rejection of the proposed substitution. The District is not obligated to review multiple substit</w:t>
      </w:r>
      <w:r>
        <w:t>ution submittals for the same product or item due to the Contractor’s failure to submit a complete package initially.</w:t>
      </w:r>
    </w:p>
    <w:p w:rsidR="00E4078C" w:rsidRDefault="009760CB">
      <w:pPr>
        <w:pStyle w:val="Heading2"/>
      </w:pPr>
      <w:r>
        <w:t>Contractor shall bear the costs of all architectural and engineering work, DSA CCD review fees, and other costs associated with the review</w:t>
      </w:r>
      <w:r>
        <w:t xml:space="preserve"> of submittals for substitution.  See Article </w:t>
      </w:r>
      <w:r>
        <w:t>10.4</w:t>
      </w:r>
      <w:r>
        <w:t xml:space="preserve">.  </w:t>
      </w:r>
    </w:p>
    <w:p w:rsidR="00E4078C" w:rsidRDefault="009760CB">
      <w:pPr>
        <w:pStyle w:val="Heading2"/>
      </w:pPr>
      <w:r>
        <w:t xml:space="preserve">Contractor agrees to include the provisions of this </w:t>
      </w:r>
      <w:r>
        <w:t>Article</w:t>
      </w:r>
      <w:r>
        <w:t xml:space="preserve"> in all </w:t>
      </w:r>
      <w:r>
        <w:t>Subcontractor</w:t>
      </w:r>
      <w:r>
        <w:t xml:space="preserve"> </w:t>
      </w:r>
      <w:r>
        <w:t>contracts</w:t>
      </w:r>
      <w:r>
        <w:t>.</w:t>
      </w:r>
    </w:p>
    <w:p w:rsidR="00E4078C" w:rsidRDefault="009760CB">
      <w:pPr>
        <w:pStyle w:val="Heading1"/>
      </w:pPr>
      <w:bookmarkStart w:id="101" w:name="_Toc256000018"/>
      <w:bookmarkStart w:id="102" w:name="_Toc365549830"/>
      <w:bookmarkStart w:id="103" w:name="_Toc472525898"/>
      <w:bookmarkStart w:id="104" w:name="_Ref472587898"/>
      <w:bookmarkStart w:id="105" w:name="_Ref472587904"/>
      <w:bookmarkStart w:id="106" w:name="_Ref472588268"/>
      <w:bookmarkStart w:id="107" w:name="_Ref472588627"/>
      <w:bookmarkStart w:id="108" w:name="_Ref472589168"/>
      <w:bookmarkStart w:id="109" w:name="_Ref472589489"/>
      <w:bookmarkStart w:id="110" w:name="_Ref472595505"/>
      <w:bookmarkStart w:id="111" w:name="_Ref472595655"/>
      <w:bookmarkStart w:id="112" w:name="_Ref472595822"/>
      <w:r>
        <w:t>EXTRA WORK/MODIFICATIONS (INCLUSION OF CCD COSTS, DSA COSTS, AND AN ICD PROCESS)</w:t>
      </w:r>
      <w:bookmarkEnd w:id="101"/>
      <w:bookmarkEnd w:id="102"/>
      <w:bookmarkEnd w:id="103"/>
      <w:bookmarkEnd w:id="104"/>
      <w:bookmarkEnd w:id="105"/>
      <w:bookmarkEnd w:id="106"/>
      <w:bookmarkEnd w:id="107"/>
      <w:bookmarkEnd w:id="108"/>
      <w:bookmarkEnd w:id="109"/>
      <w:bookmarkEnd w:id="110"/>
      <w:bookmarkEnd w:id="111"/>
      <w:bookmarkEnd w:id="112"/>
    </w:p>
    <w:p w:rsidR="00E4078C" w:rsidRDefault="009760CB">
      <w:pPr>
        <w:pStyle w:val="Heading2"/>
      </w:pPr>
      <w:r>
        <w:rPr>
          <w:u w:val="single"/>
        </w:rPr>
        <w:t>No Changes Without Authorizat</w:t>
      </w:r>
      <w:r>
        <w:rPr>
          <w:u w:val="single"/>
        </w:rPr>
        <w:t>ion</w:t>
      </w:r>
      <w:r w:rsidRPr="00AF47D6">
        <w:t xml:space="preserve">. </w:t>
      </w:r>
      <w:r>
        <w:t xml:space="preserve"> There shall be no change whatsoever in the drawings, specifications, or in the Work without an executed Change Order, Change Order Request, Immediate Change Directive, or order by the Architect for a minor change in the Work as herein provided.  Dist</w:t>
      </w:r>
      <w:r>
        <w:t>rict shall not be liable for the cost of any extra work or any substitutions, changes, additions, omissions, or deviations from the Drawings and Specifications unless authorized District representative has approved the cost in writing by Change Order or ex</w:t>
      </w:r>
      <w:r>
        <w:t>ecuted Construction Change D</w:t>
      </w:r>
      <w:r>
        <w:t>ocument</w:t>
      </w:r>
      <w:r>
        <w:t>.  No extension of time for performance of the Work shall be allowed hereunder unless claim for such extension is made at the time changes in the Work are ordered, and such time duly adjusted in writing in the Change Orde</w:t>
      </w:r>
      <w:r>
        <w:t xml:space="preserve">r.  The provisions of the Contract Documents shall apply to all such changes, additions, and omissions with the same effect as if originally embodied in the Drawings and Specifications.  Notwithstanding anything to the contrary in this Article </w:t>
      </w:r>
      <w:r>
        <w:t>17</w:t>
      </w:r>
      <w:r>
        <w:t>, all Chan</w:t>
      </w:r>
      <w:r>
        <w:t xml:space="preserve">ge Orders shall be prepared and issued by the Architect and shall become effective when executed by the authorized District representative (utilizing either a </w:t>
      </w:r>
      <w:r>
        <w:t>Construction Contingency</w:t>
      </w:r>
      <w:r>
        <w:t xml:space="preserve"> Amount or a District Contingency Amount), the Architect, and the Contrac</w:t>
      </w:r>
      <w:r>
        <w:t>tor.</w:t>
      </w:r>
    </w:p>
    <w:p w:rsidR="00E4078C" w:rsidRDefault="009760CB">
      <w:pPr>
        <w:pStyle w:val="Heading2"/>
        <w:numPr>
          <w:ilvl w:val="0"/>
          <w:numId w:val="0"/>
        </w:numPr>
        <w:ind w:left="1440"/>
      </w:pPr>
      <w:r>
        <w:t>CONTRACTOR UNDERSTANDS, ACKNOWLEDGES, AND AGREES THAT THE REASON FOR THIS NOTICE REQUIREMENT IS SO THAT DISTRICT MAY HAVE AN OPPORTUNITY TO ANALYZE THE WORK AND DECIDE WHETHER THE DISTRICT SHALL PROCEED WITH THE CHANGE ORDER OR ALTER THE PROJECT SO TH</w:t>
      </w:r>
      <w:r>
        <w:t>AT SUCH CHANGE IN WORK BECOMES UNNECESSARY AND TO AVOID THE POSSIBLE DELAYS ASSOCIATED WITH THE ISSUANCE OF A NOTICE OF NON-COMPLIANCE.</w:t>
      </w:r>
    </w:p>
    <w:p w:rsidR="00E4078C" w:rsidRDefault="009760CB">
      <w:pPr>
        <w:pStyle w:val="Heading2"/>
      </w:pPr>
      <w:bookmarkStart w:id="113" w:name="_Ref472588278"/>
      <w:r>
        <w:rPr>
          <w:u w:val="single"/>
        </w:rPr>
        <w:t>Notices of Non-Compliance</w:t>
      </w:r>
      <w:r w:rsidRPr="00AF47D6">
        <w:t xml:space="preserve">. </w:t>
      </w:r>
      <w:r>
        <w:t xml:space="preserve"> Contractor deviation or changes from approved </w:t>
      </w:r>
      <w:r>
        <w:t>Construction Documents</w:t>
      </w:r>
      <w:r>
        <w:t xml:space="preserve"> may result in the issua</w:t>
      </w:r>
      <w:r>
        <w:t xml:space="preserve">nce of a Notice of Non-Compliance (See DSA Form 154).  Contractor is specifically notified that deviations from the </w:t>
      </w:r>
      <w:r>
        <w:t>Construction Documents</w:t>
      </w:r>
      <w:r>
        <w:t>, whether major or minor, may result in the requirement to obtain a DSA Construction Change D</w:t>
      </w:r>
      <w:r>
        <w:t>ocument</w:t>
      </w:r>
      <w:r>
        <w:t xml:space="preserve"> to correct the No</w:t>
      </w:r>
      <w:r>
        <w:t xml:space="preserve">tice of Non-Compliance. (See Article </w:t>
      </w:r>
      <w:r>
        <w:t>17.4.1.1</w:t>
      </w:r>
      <w:r>
        <w:t xml:space="preserve"> for Definition of CCD).  In some cases, the lack of a DSA approved CCD AND verification from the Inspector that a Notice of Non-Compliance has been corrected may result in a critical path delay to the next stag</w:t>
      </w:r>
      <w:r>
        <w:t xml:space="preserve">e of Work on the Project.  Specifically, a deviation from approved </w:t>
      </w:r>
      <w:r>
        <w:t>Construction Documents</w:t>
      </w:r>
      <w:r>
        <w:t xml:space="preserve"> may prevent approval of the category of Work listed in the DSA 152 Project Inspection Card.  Any delays</w:t>
      </w:r>
      <w:r>
        <w:t xml:space="preserve"> or cost impacts</w:t>
      </w:r>
      <w:r>
        <w:t xml:space="preserve"> that are caused by the Contractor’s deviation </w:t>
      </w:r>
      <w:r>
        <w:t xml:space="preserve">from approved </w:t>
      </w:r>
      <w:r>
        <w:t>Construction Documents</w:t>
      </w:r>
      <w:r>
        <w:t xml:space="preserve"> shall be the Contractor’s responsibility.</w:t>
      </w:r>
      <w:bookmarkEnd w:id="113"/>
      <w:r>
        <w:t xml:space="preserve">  </w:t>
      </w:r>
    </w:p>
    <w:p w:rsidR="00E4078C" w:rsidRDefault="009760CB">
      <w:pPr>
        <w:pStyle w:val="Heading2"/>
      </w:pPr>
      <w:bookmarkStart w:id="114" w:name="_Toc256000019"/>
      <w:r>
        <w:rPr>
          <w:rStyle w:val="Heading2Char"/>
          <w:u w:val="single"/>
        </w:rPr>
        <w:t>Architect Authority</w:t>
      </w:r>
      <w:r w:rsidRPr="00AF47D6">
        <w:rPr>
          <w:rStyle w:val="Heading2Char"/>
        </w:rPr>
        <w:t>.</w:t>
      </w:r>
      <w:bookmarkEnd w:id="114"/>
      <w:r w:rsidRPr="00AF47D6">
        <w:t xml:space="preserve">  T</w:t>
      </w:r>
      <w:r>
        <w:t xml:space="preserve">he Architect will have authority to order minor changes in the Work that do not involve DSA Approval not involving any adjustment in the Contract Sum, </w:t>
      </w:r>
      <w:r>
        <w:t>or an extension of the Contract Time.</w:t>
      </w:r>
    </w:p>
    <w:p w:rsidR="00E4078C" w:rsidRDefault="009760CB" w:rsidP="007A2867">
      <w:pPr>
        <w:pStyle w:val="Heading2"/>
        <w:keepNext/>
      </w:pPr>
      <w:bookmarkStart w:id="115" w:name="_Ref472588157"/>
      <w:r>
        <w:lastRenderedPageBreak/>
        <w:t>CONSTRUCTION CHANGE D</w:t>
      </w:r>
      <w:r>
        <w:t>OCUMENT</w:t>
      </w:r>
      <w:r>
        <w:t xml:space="preserve"> (CCD Category A, and CCD Category B) and IMMEDIATE CHANGE DIRECTIVE (ICD)</w:t>
      </w:r>
      <w:bookmarkEnd w:id="115"/>
    </w:p>
    <w:p w:rsidR="00E4078C" w:rsidRDefault="009760CB">
      <w:pPr>
        <w:pStyle w:val="Heading3"/>
        <w:keepNext/>
        <w:rPr>
          <w:i/>
        </w:rPr>
      </w:pPr>
      <w:r>
        <w:rPr>
          <w:i/>
        </w:rPr>
        <w:t>Definitions</w:t>
      </w:r>
    </w:p>
    <w:p w:rsidR="00E4078C" w:rsidRDefault="009760CB">
      <w:pPr>
        <w:pStyle w:val="Heading4"/>
      </w:pPr>
      <w:bookmarkStart w:id="116" w:name="_Ref472595537"/>
      <w:r>
        <w:rPr>
          <w:u w:val="single"/>
        </w:rPr>
        <w:t>Construction Change Document</w:t>
      </w:r>
      <w:r>
        <w:rPr>
          <w:u w:val="single"/>
        </w:rPr>
        <w:t xml:space="preserve"> (CCD).</w:t>
      </w:r>
      <w:r>
        <w:t xml:space="preserve">  A Construction Change D</w:t>
      </w:r>
      <w:r>
        <w:t>ocument</w:t>
      </w:r>
      <w:r>
        <w:t xml:space="preserve"> is a DSA term that is utilized to a</w:t>
      </w:r>
      <w:r>
        <w:t xml:space="preserve">ddress changes to the DSA approved </w:t>
      </w:r>
      <w:r>
        <w:t>Construction Documents</w:t>
      </w:r>
      <w:r>
        <w:t>.  There are two types of Construction Change D</w:t>
      </w:r>
      <w:r>
        <w:t>ocument</w:t>
      </w:r>
      <w:r>
        <w:t xml:space="preserve">s.  (1) DSA approved CCD Category A (DSA Form 140) for Work affecting Structural, Access or Fire-Life Safety of the Project which will require a </w:t>
      </w:r>
      <w:r>
        <w:t xml:space="preserve">DSA approval; and, </w:t>
      </w:r>
      <w:r>
        <w:t>(2) CCD Category B (DSA Form 140</w:t>
      </w:r>
      <w:r>
        <w:t>) for work NOT affecting Structural Safety, Access Compliance or Fire and Life Safety that will not require a DSA approval (except to confirm that no Approval is required);</w:t>
      </w:r>
      <w:bookmarkEnd w:id="116"/>
    </w:p>
    <w:p w:rsidR="00E4078C" w:rsidRDefault="009760CB">
      <w:pPr>
        <w:pStyle w:val="Heading4"/>
      </w:pPr>
      <w:bookmarkStart w:id="117" w:name="_Ref472588254"/>
      <w:r>
        <w:rPr>
          <w:u w:val="single"/>
        </w:rPr>
        <w:t>Immediate Change Directive (ICD)</w:t>
      </w:r>
      <w:r>
        <w:t>.  An Immediate Change Directive is a written order to the Contractor prepared by the Architect and signed by the District (and CM if there is a CM on the Project) and the Architect, directing a change in the Work and stating a proposed basis for adjustmen</w:t>
      </w:r>
      <w:r>
        <w:t>t, if any, in the Contract Sum or Contract Time, or both. The District may by ICD, without invalidating the Contract, direct immediate changes in the Work within the general scope of the Contract consisting of additions, deletions, or other revisions withi</w:t>
      </w:r>
      <w:r>
        <w:t>n.  If applicable, the Contract Sum and Contract Time will be adjusted accordingly.</w:t>
      </w:r>
      <w:bookmarkEnd w:id="117"/>
      <w:r>
        <w:t xml:space="preserve">  </w:t>
      </w:r>
    </w:p>
    <w:p w:rsidR="00E4078C" w:rsidRDefault="009760CB">
      <w:pPr>
        <w:pStyle w:val="Heading4"/>
        <w:numPr>
          <w:ilvl w:val="0"/>
          <w:numId w:val="0"/>
        </w:numPr>
        <w:ind w:left="3600"/>
      </w:pPr>
      <w:r>
        <w:t>In the case of an Immediate Change Directive being issued, Contractor must commence Work immediately or delays from failure to perform the ICD shall be the responsibility</w:t>
      </w:r>
      <w:r>
        <w:t xml:space="preserve"> of Contractor and the failure to move forward with Work immediately shall also be grounds for Termination under Article </w:t>
      </w:r>
      <w:r>
        <w:t>19</w:t>
      </w:r>
      <w:r>
        <w:t xml:space="preserve"> or determination of partial default under Article </w:t>
      </w:r>
      <w:r>
        <w:t>12.2</w:t>
      </w:r>
      <w:r>
        <w:t xml:space="preserve">.  </w:t>
      </w:r>
    </w:p>
    <w:p w:rsidR="00E4078C" w:rsidRDefault="009760CB">
      <w:pPr>
        <w:pStyle w:val="Heading4"/>
        <w:numPr>
          <w:ilvl w:val="0"/>
          <w:numId w:val="0"/>
        </w:numPr>
        <w:ind w:left="3600"/>
      </w:pPr>
      <w:r>
        <w:t xml:space="preserve">An ICD does not automatically trigger an Article </w:t>
      </w:r>
      <w:r>
        <w:t>20</w:t>
      </w:r>
      <w:r>
        <w:t xml:space="preserve"> Dispute or Claim.  Con</w:t>
      </w:r>
      <w:r>
        <w:t xml:space="preserve">tractor must timely follow the procedures outlined at Article </w:t>
      </w:r>
      <w:r>
        <w:t>20</w:t>
      </w:r>
      <w:r>
        <w:t xml:space="preserve"> and this Article where applicable.</w:t>
      </w:r>
    </w:p>
    <w:p w:rsidR="00E4078C" w:rsidRDefault="009760CB">
      <w:pPr>
        <w:pStyle w:val="Heading4"/>
        <w:numPr>
          <w:ilvl w:val="0"/>
          <w:numId w:val="0"/>
        </w:numPr>
        <w:ind w:left="3600"/>
      </w:pPr>
      <w:r>
        <w:t xml:space="preserve">Refer to Forms for a copy of the proposed Immediate Change Directive form.  </w:t>
      </w:r>
    </w:p>
    <w:p w:rsidR="00E4078C" w:rsidRDefault="009760CB">
      <w:pPr>
        <w:pStyle w:val="Heading4"/>
      </w:pPr>
      <w:r>
        <w:rPr>
          <w:u w:val="single"/>
        </w:rPr>
        <w:t>Use to Direct Change.</w:t>
      </w:r>
      <w:r>
        <w:rPr>
          <w:i/>
        </w:rPr>
        <w:t xml:space="preserve">  </w:t>
      </w:r>
      <w:r>
        <w:t>An ICD shall be used to move work forward immediately an</w:t>
      </w:r>
      <w:r>
        <w:t>d to avoid delay.  In some cases, an ICD shall be issued in the absence of agreement on the terms of an Extra, or RFP.  A copy of an ICD form is provided in the Forms included with this CSA.  The anticipated not to exceed price for the Work will be inserte</w:t>
      </w:r>
      <w:r>
        <w:t>d into the ICD.  In the case of an ICD issued to correct Contractor Deficiencies or to correct a Contractor caused Notice of Non-Compliance, the ICD may be issued with $0 and 0 time.  Contract may prepare an Extra</w:t>
      </w:r>
      <w:r>
        <w:t xml:space="preserve"> </w:t>
      </w:r>
      <w:r>
        <w:t>associated with the ICD pursuant to Articl</w:t>
      </w:r>
      <w:r>
        <w:t xml:space="preserve">e </w:t>
      </w:r>
      <w:r>
        <w:t>17</w:t>
      </w:r>
      <w:r>
        <w:t xml:space="preserve">.  However, Contractor shall proceed with all Work required under an Approved ICD immediately upon issuance.  Failure to proceed with the Work under an ICD shall be grounds for Termination for Cause under Article 19 or take over the Work under Article </w:t>
      </w:r>
      <w:r>
        <w:t>12.2</w:t>
      </w:r>
      <w:r>
        <w:t>.</w:t>
      </w:r>
    </w:p>
    <w:p w:rsidR="00E4078C" w:rsidRDefault="009760CB">
      <w:pPr>
        <w:pStyle w:val="Heading4"/>
        <w:numPr>
          <w:ilvl w:val="0"/>
          <w:numId w:val="0"/>
        </w:numPr>
        <w:ind w:left="3600"/>
      </w:pPr>
      <w:r w:rsidRPr="002F63E0">
        <w:t xml:space="preserve">If adequate time exists, an ICD may be subject to a request for pricing and a determination if any additional time may be required.  However, </w:t>
      </w:r>
      <w:r w:rsidRPr="002F63E0">
        <w:lastRenderedPageBreak/>
        <w:t>if a request for pricing is not completed, Contractor shall immediately commence Work when an ICD is issued.</w:t>
      </w:r>
      <w:r w:rsidRPr="002F63E0">
        <w:t xml:space="preserve">  If the request for pricing is incomplete, it may still be completed and submitted for consideration by the District (in its sole discretion) for pricing purposes as long as the request for pricing is submitted within the timeline required, or within 10 d</w:t>
      </w:r>
      <w:r w:rsidRPr="002F63E0">
        <w:t>ays following issuance of the ICD</w:t>
      </w:r>
      <w:r>
        <w:t xml:space="preserve">. </w:t>
      </w:r>
    </w:p>
    <w:p w:rsidR="00E4078C" w:rsidRDefault="009760CB">
      <w:pPr>
        <w:pStyle w:val="Heading4"/>
      </w:pPr>
      <w:r>
        <w:rPr>
          <w:u w:val="single"/>
        </w:rPr>
        <w:t>ICD Issued Over a Notice of Non-Compliance or to Cover Work Subject to a DSA 152 Sign Off</w:t>
      </w:r>
      <w:r>
        <w:t>.  In some cases, an ICD shall be for the purpose of proceeding with Work to keep the Project on Schedule and as an acknowledgement</w:t>
      </w:r>
      <w:r>
        <w:t xml:space="preserve"> by the District that Contractor is proceeding with Work contrary to a Notice of Non-Compliance, prior to issuance of a DSA approved CCD Category A, or to direct the covering of Work which has not yet received a DSA 152 Inspection Approval to move forward.</w:t>
      </w:r>
      <w:r>
        <w:t xml:space="preserve">  </w:t>
      </w:r>
    </w:p>
    <w:p w:rsidR="00E4078C" w:rsidRDefault="009760CB">
      <w:pPr>
        <w:pStyle w:val="Heading5"/>
      </w:pPr>
      <w:r>
        <w:rPr>
          <w:i/>
        </w:rPr>
        <w:t xml:space="preserve">Contractor Compliance with all Aspects of an ICD.  </w:t>
      </w:r>
      <w:r>
        <w:t xml:space="preserve">Contractor is to undertake the ICD and comply with all aspects of the Work outlined in the ICD.  Inspector is to inspect the Work pursuant to the ICD.  Failure to follow the ICD may result in deduction </w:t>
      </w:r>
      <w:r>
        <w:t xml:space="preserve">of the ICD Work under Article </w:t>
      </w:r>
      <w:r>
        <w:t>12.2</w:t>
      </w:r>
      <w:r>
        <w:t xml:space="preserve"> or Termination of the Contractor pursuant to Article </w:t>
      </w:r>
      <w:r>
        <w:t>19</w:t>
      </w:r>
      <w:r>
        <w:t>.</w:t>
      </w:r>
    </w:p>
    <w:p w:rsidR="00E4078C" w:rsidRDefault="009760CB">
      <w:pPr>
        <w:pStyle w:val="Heading5"/>
      </w:pPr>
      <w:r>
        <w:rPr>
          <w:i/>
        </w:rPr>
        <w:t xml:space="preserve">Exception in the Case of DSA Issued Stop Work Order.  </w:t>
      </w:r>
      <w:r>
        <w:t>Contractor must proceed with an ICD even if a CCD has not been approved by DSA except in the case of a DSA iss</w:t>
      </w:r>
      <w:r>
        <w:t>ued Stop Work Order.  If a DSA Stop Work Order is issued, Contractor must stop work and wait further direction from the District.</w:t>
      </w:r>
    </w:p>
    <w:p w:rsidR="00E4078C" w:rsidRDefault="009760CB">
      <w:pPr>
        <w:pStyle w:val="Heading5"/>
      </w:pPr>
      <w:r>
        <w:rPr>
          <w:i/>
        </w:rPr>
        <w:t xml:space="preserve">ICD Due to Contractor Deficiency or Contractor Caused Notice of Non-Compliance. </w:t>
      </w:r>
      <w:r>
        <w:t xml:space="preserve"> If an ICD is issued to correct a Contractor D</w:t>
      </w:r>
      <w:r>
        <w:t>eficiency or a Contractor caused notice of Non-Compliance, Contractor specifically acknowledges responsibility for all consequential damages associated with the Contractor Deficiency or Contractor Caused Notice of Non-Compliance and all consequential damag</w:t>
      </w:r>
      <w:r>
        <w:t xml:space="preserve">es and costs incurred to correct the deficiency under Article </w:t>
      </w:r>
      <w:r>
        <w:t>10.4</w:t>
      </w:r>
      <w:r>
        <w:t>.</w:t>
      </w:r>
    </w:p>
    <w:p w:rsidR="00E4078C" w:rsidRDefault="009760CB">
      <w:pPr>
        <w:pStyle w:val="Heading2"/>
      </w:pPr>
      <w:r>
        <w:rPr>
          <w:u w:val="single"/>
        </w:rPr>
        <w:t xml:space="preserve">Extras Request. </w:t>
      </w:r>
      <w:r>
        <w:t xml:space="preserve"> Extra work or a modification or reduction of requirements or of methods of performing the Construction which differ from the work or requirements set forth in the Construc</w:t>
      </w:r>
      <w:r>
        <w:t xml:space="preserve">tion Documents (“Extra Work/Modifications”); and for such purposes, the District may at any time during the life of this Construction Services Agreement by written order, make such changes as it shall find necessary from </w:t>
      </w:r>
      <w:r>
        <w:t>Construction Contingency</w:t>
      </w:r>
      <w:r>
        <w:t xml:space="preserve"> if District approves such request in writing. </w:t>
      </w:r>
      <w:r>
        <w:t xml:space="preserve"> T</w:t>
      </w:r>
      <w:r>
        <w:t xml:space="preserve">he costs of the Extra Work/Modifications, as established pursuant to this Article, shall be deducted from </w:t>
      </w:r>
      <w:r>
        <w:t xml:space="preserve">the Construction Contingency as mutually agreed in writing </w:t>
      </w:r>
      <w:r>
        <w:t xml:space="preserve">or </w:t>
      </w:r>
      <w:r>
        <w:t xml:space="preserve">the </w:t>
      </w:r>
      <w:r>
        <w:t>Error</w:t>
      </w:r>
      <w:r>
        <w:t>s</w:t>
      </w:r>
      <w:r>
        <w:t xml:space="preserve"> and Omission</w:t>
      </w:r>
      <w:r>
        <w:t>s</w:t>
      </w:r>
      <w:r>
        <w:t xml:space="preserve"> </w:t>
      </w:r>
      <w:r>
        <w:t>Contingency</w:t>
      </w:r>
      <w:r>
        <w:t xml:space="preserve"> </w:t>
      </w:r>
      <w:r>
        <w:t>or</w:t>
      </w:r>
      <w:r>
        <w:t xml:space="preserve"> the Unforeseen Allowance as determined by the District, </w:t>
      </w:r>
      <w:r>
        <w:t>and shall not affect the GMP.</w:t>
      </w:r>
    </w:p>
    <w:p w:rsidR="00512F02" w:rsidRDefault="009760CB" w:rsidP="00CA71B1">
      <w:pPr>
        <w:pStyle w:val="Heading3"/>
      </w:pPr>
      <w:r>
        <w:rPr>
          <w:i/>
        </w:rPr>
        <w:t>Format</w:t>
      </w:r>
      <w:r>
        <w:t>.  The following format shall be used, as applicable by the District and the Contractor to communicate proposed additions and deductions to the Contract.  A copy o</w:t>
      </w:r>
      <w:r>
        <w:t xml:space="preserve">f a proposed </w:t>
      </w:r>
      <w:r>
        <w:t xml:space="preserve">Construction </w:t>
      </w:r>
      <w:r>
        <w:t xml:space="preserve">Change </w:t>
      </w:r>
      <w:r>
        <w:t xml:space="preserve">Document </w:t>
      </w:r>
      <w:r>
        <w:t xml:space="preserve">form is provided </w:t>
      </w:r>
      <w:r>
        <w:t>in Division 1 of the Specifications</w:t>
      </w:r>
      <w:r>
        <w:t>. The m</w:t>
      </w:r>
      <w:r>
        <w:t xml:space="preserve">ost stringent guidelines will apply to all forms. </w:t>
      </w:r>
    </w:p>
    <w:p w:rsidR="00CA71B1" w:rsidRDefault="009760CB" w:rsidP="00CA71B1">
      <w:pPr>
        <w:pStyle w:val="Heading3"/>
        <w:numPr>
          <w:ilvl w:val="0"/>
          <w:numId w:val="0"/>
        </w:numPr>
        <w:ind w:left="2419"/>
      </w:pPr>
    </w:p>
    <w:tbl>
      <w:tblPr>
        <w:tblW w:w="0" w:type="auto"/>
        <w:tblInd w:w="930" w:type="dxa"/>
        <w:tblLayout w:type="fixed"/>
        <w:tblCellMar>
          <w:left w:w="120" w:type="dxa"/>
          <w:right w:w="120" w:type="dxa"/>
        </w:tblCellMar>
        <w:tblLook w:val="0000" w:firstRow="0" w:lastRow="0" w:firstColumn="0" w:lastColumn="0" w:noHBand="0" w:noVBand="0"/>
      </w:tblPr>
      <w:tblGrid>
        <w:gridCol w:w="5697"/>
        <w:gridCol w:w="1540"/>
        <w:gridCol w:w="1401"/>
      </w:tblGrid>
      <w:tr w:rsidR="00C05B7A" w:rsidTr="00F51EFF">
        <w:trPr>
          <w:cantSplit/>
          <w:tblHeader/>
        </w:trPr>
        <w:tc>
          <w:tcPr>
            <w:tcW w:w="5697" w:type="dxa"/>
            <w:tcBorders>
              <w:top w:val="nil"/>
              <w:left w:val="nil"/>
              <w:bottom w:val="nil"/>
              <w:right w:val="nil"/>
            </w:tcBorders>
          </w:tcPr>
          <w:p w:rsidR="00512F02" w:rsidRDefault="009760CB" w:rsidP="00F51EFF">
            <w:pPr>
              <w:spacing w:before="200"/>
              <w:rPr>
                <w:sz w:val="20"/>
                <w:szCs w:val="20"/>
              </w:rPr>
            </w:pPr>
          </w:p>
        </w:tc>
        <w:tc>
          <w:tcPr>
            <w:tcW w:w="1540" w:type="dxa"/>
            <w:tcBorders>
              <w:top w:val="nil"/>
              <w:left w:val="nil"/>
              <w:bottom w:val="nil"/>
              <w:right w:val="nil"/>
            </w:tcBorders>
          </w:tcPr>
          <w:p w:rsidR="00512F02" w:rsidRDefault="009760CB" w:rsidP="00F51EFF">
            <w:pPr>
              <w:spacing w:before="200"/>
              <w:jc w:val="center"/>
              <w:rPr>
                <w:sz w:val="20"/>
                <w:szCs w:val="20"/>
              </w:rPr>
            </w:pPr>
            <w:r>
              <w:rPr>
                <w:sz w:val="20"/>
                <w:szCs w:val="20"/>
                <w:u w:val="single"/>
              </w:rPr>
              <w:t>EXTRA</w:t>
            </w:r>
          </w:p>
        </w:tc>
        <w:tc>
          <w:tcPr>
            <w:tcW w:w="1401" w:type="dxa"/>
            <w:tcBorders>
              <w:top w:val="nil"/>
              <w:left w:val="nil"/>
              <w:bottom w:val="nil"/>
              <w:right w:val="nil"/>
            </w:tcBorders>
          </w:tcPr>
          <w:p w:rsidR="00512F02" w:rsidRDefault="009760CB" w:rsidP="00F51EFF">
            <w:pPr>
              <w:spacing w:before="200"/>
              <w:jc w:val="center"/>
              <w:rPr>
                <w:sz w:val="20"/>
                <w:szCs w:val="20"/>
              </w:rPr>
            </w:pPr>
            <w:r>
              <w:rPr>
                <w:sz w:val="20"/>
                <w:szCs w:val="20"/>
                <w:u w:val="single"/>
              </w:rPr>
              <w:t>CREDIT</w:t>
            </w:r>
          </w:p>
        </w:tc>
      </w:tr>
      <w:tr w:rsidR="00C05B7A" w:rsidTr="00F51EFF">
        <w:trPr>
          <w:cantSplit/>
        </w:trPr>
        <w:tc>
          <w:tcPr>
            <w:tcW w:w="5697" w:type="dxa"/>
            <w:tcBorders>
              <w:top w:val="nil"/>
              <w:left w:val="nil"/>
              <w:bottom w:val="nil"/>
              <w:right w:val="nil"/>
            </w:tcBorders>
            <w:vAlign w:val="bottom"/>
          </w:tcPr>
          <w:p w:rsidR="00512F02" w:rsidRDefault="009760CB" w:rsidP="00F51EFF">
            <w:pPr>
              <w:spacing w:before="200"/>
              <w:ind w:left="690" w:hanging="690"/>
              <w:rPr>
                <w:sz w:val="20"/>
                <w:szCs w:val="20"/>
              </w:rPr>
            </w:pPr>
            <w:r>
              <w:rPr>
                <w:sz w:val="20"/>
                <w:szCs w:val="20"/>
              </w:rPr>
              <w:t>(a)</w:t>
            </w:r>
            <w:r>
              <w:rPr>
                <w:sz w:val="20"/>
                <w:szCs w:val="20"/>
              </w:rPr>
              <w:tab/>
              <w:t xml:space="preserve">Material (attach itemized quantity and unit cost plus sales tax) </w:t>
            </w:r>
          </w:p>
          <w:p w:rsidR="0024734A" w:rsidRDefault="009760CB" w:rsidP="0024734A">
            <w:pPr>
              <w:ind w:left="691" w:hanging="691"/>
              <w:rPr>
                <w:sz w:val="20"/>
                <w:szCs w:val="20"/>
              </w:rPr>
            </w:pPr>
          </w:p>
        </w:tc>
        <w:tc>
          <w:tcPr>
            <w:tcW w:w="1540" w:type="dxa"/>
            <w:tcBorders>
              <w:top w:val="nil"/>
              <w:left w:val="nil"/>
              <w:bottom w:val="nil"/>
              <w:right w:val="nil"/>
            </w:tcBorders>
          </w:tcPr>
          <w:p w:rsidR="00512F02" w:rsidRDefault="009760CB" w:rsidP="00F51EFF">
            <w:pPr>
              <w:spacing w:before="200"/>
              <w:jc w:val="center"/>
              <w:rPr>
                <w:sz w:val="20"/>
                <w:szCs w:val="20"/>
              </w:rPr>
            </w:pPr>
          </w:p>
          <w:p w:rsidR="00512F02" w:rsidRDefault="009760CB" w:rsidP="00F51EFF">
            <w:pPr>
              <w:spacing w:before="200"/>
              <w:jc w:val="center"/>
              <w:rPr>
                <w:sz w:val="20"/>
                <w:szCs w:val="20"/>
              </w:rPr>
            </w:pPr>
            <w:r>
              <w:rPr>
                <w:sz w:val="20"/>
                <w:szCs w:val="20"/>
              </w:rPr>
              <w:t>________</w:t>
            </w:r>
          </w:p>
        </w:tc>
        <w:tc>
          <w:tcPr>
            <w:tcW w:w="1401" w:type="dxa"/>
            <w:tcBorders>
              <w:top w:val="nil"/>
              <w:left w:val="nil"/>
              <w:bottom w:val="nil"/>
              <w:right w:val="nil"/>
            </w:tcBorders>
          </w:tcPr>
          <w:p w:rsidR="00512F02" w:rsidRDefault="009760CB" w:rsidP="00F51EFF">
            <w:pPr>
              <w:spacing w:before="200"/>
              <w:jc w:val="center"/>
              <w:rPr>
                <w:sz w:val="20"/>
                <w:szCs w:val="20"/>
              </w:rPr>
            </w:pPr>
          </w:p>
          <w:p w:rsidR="00512F02" w:rsidRDefault="009760CB" w:rsidP="00F51EFF">
            <w:pPr>
              <w:spacing w:before="200"/>
              <w:jc w:val="center"/>
              <w:rPr>
                <w:sz w:val="20"/>
                <w:szCs w:val="20"/>
              </w:rPr>
            </w:pPr>
            <w:r>
              <w:rPr>
                <w:sz w:val="20"/>
                <w:szCs w:val="20"/>
              </w:rPr>
              <w:t>________</w:t>
            </w:r>
          </w:p>
        </w:tc>
      </w:tr>
      <w:tr w:rsidR="00C05B7A" w:rsidTr="00F51EFF">
        <w:trPr>
          <w:cantSplit/>
        </w:trPr>
        <w:tc>
          <w:tcPr>
            <w:tcW w:w="5697" w:type="dxa"/>
            <w:tcBorders>
              <w:top w:val="nil"/>
              <w:left w:val="nil"/>
              <w:bottom w:val="nil"/>
              <w:right w:val="nil"/>
            </w:tcBorders>
          </w:tcPr>
          <w:p w:rsidR="00512F02" w:rsidRDefault="009760CB" w:rsidP="00F51EFF">
            <w:pPr>
              <w:spacing w:before="200"/>
              <w:ind w:left="690" w:hanging="690"/>
              <w:rPr>
                <w:sz w:val="20"/>
                <w:szCs w:val="20"/>
              </w:rPr>
            </w:pPr>
            <w:r>
              <w:rPr>
                <w:sz w:val="20"/>
                <w:szCs w:val="20"/>
              </w:rPr>
              <w:t>(b)</w:t>
            </w:r>
            <w:r>
              <w:rPr>
                <w:sz w:val="20"/>
                <w:szCs w:val="20"/>
              </w:rPr>
              <w:tab/>
              <w:t>Equipment (attach invoices)</w:t>
            </w:r>
          </w:p>
          <w:p w:rsidR="0024734A" w:rsidRDefault="009760CB" w:rsidP="0024734A">
            <w:pPr>
              <w:ind w:left="691" w:hanging="691"/>
              <w:rPr>
                <w:sz w:val="20"/>
                <w:szCs w:val="20"/>
              </w:rPr>
            </w:pPr>
          </w:p>
        </w:tc>
        <w:tc>
          <w:tcPr>
            <w:tcW w:w="1540" w:type="dxa"/>
            <w:tcBorders>
              <w:top w:val="nil"/>
              <w:left w:val="nil"/>
              <w:bottom w:val="nil"/>
              <w:right w:val="nil"/>
            </w:tcBorders>
          </w:tcPr>
          <w:p w:rsidR="00512F02" w:rsidRDefault="009760CB" w:rsidP="00F51EFF">
            <w:pPr>
              <w:spacing w:before="200"/>
              <w:jc w:val="center"/>
              <w:rPr>
                <w:sz w:val="20"/>
                <w:szCs w:val="20"/>
              </w:rPr>
            </w:pPr>
            <w:r>
              <w:rPr>
                <w:sz w:val="20"/>
                <w:szCs w:val="20"/>
              </w:rPr>
              <w:t>________</w:t>
            </w:r>
          </w:p>
        </w:tc>
        <w:tc>
          <w:tcPr>
            <w:tcW w:w="1401" w:type="dxa"/>
            <w:tcBorders>
              <w:top w:val="nil"/>
              <w:left w:val="nil"/>
              <w:bottom w:val="nil"/>
              <w:right w:val="nil"/>
            </w:tcBorders>
          </w:tcPr>
          <w:p w:rsidR="00512F02" w:rsidRDefault="009760CB" w:rsidP="00F51EFF">
            <w:pPr>
              <w:spacing w:before="200"/>
              <w:jc w:val="center"/>
              <w:rPr>
                <w:sz w:val="20"/>
                <w:szCs w:val="20"/>
              </w:rPr>
            </w:pPr>
            <w:r>
              <w:rPr>
                <w:sz w:val="20"/>
                <w:szCs w:val="20"/>
              </w:rPr>
              <w:t>________</w:t>
            </w:r>
          </w:p>
        </w:tc>
      </w:tr>
      <w:tr w:rsidR="00C05B7A" w:rsidTr="00F51EFF">
        <w:trPr>
          <w:cantSplit/>
          <w:trHeight w:val="450"/>
        </w:trPr>
        <w:tc>
          <w:tcPr>
            <w:tcW w:w="5697" w:type="dxa"/>
            <w:tcBorders>
              <w:top w:val="nil"/>
              <w:left w:val="nil"/>
              <w:bottom w:val="nil"/>
              <w:right w:val="nil"/>
            </w:tcBorders>
            <w:vAlign w:val="bottom"/>
          </w:tcPr>
          <w:p w:rsidR="0024734A" w:rsidRDefault="009760CB" w:rsidP="0024734A">
            <w:pPr>
              <w:ind w:left="691" w:hanging="691"/>
              <w:rPr>
                <w:sz w:val="20"/>
                <w:szCs w:val="20"/>
              </w:rPr>
            </w:pPr>
            <w:r>
              <w:rPr>
                <w:sz w:val="20"/>
                <w:szCs w:val="20"/>
              </w:rPr>
              <w:t>(c)</w:t>
            </w:r>
            <w:r>
              <w:rPr>
                <w:sz w:val="20"/>
                <w:szCs w:val="20"/>
              </w:rPr>
              <w:tab/>
              <w:t>Labor Not to Exceed Applicable Prevailing Wage Rates</w:t>
            </w:r>
            <w:r>
              <w:rPr>
                <w:sz w:val="20"/>
                <w:szCs w:val="20"/>
              </w:rPr>
              <w:t xml:space="preserve"> (attach itemized hours and rates)</w:t>
            </w:r>
          </w:p>
          <w:p w:rsidR="00512F02" w:rsidRDefault="009760CB" w:rsidP="0024734A">
            <w:pPr>
              <w:ind w:left="691" w:hanging="691"/>
              <w:rPr>
                <w:sz w:val="20"/>
                <w:szCs w:val="20"/>
              </w:rPr>
            </w:pPr>
            <w:r>
              <w:rPr>
                <w:sz w:val="20"/>
                <w:szCs w:val="20"/>
              </w:rPr>
              <w:tab/>
            </w:r>
          </w:p>
        </w:tc>
        <w:tc>
          <w:tcPr>
            <w:tcW w:w="1540" w:type="dxa"/>
            <w:tcBorders>
              <w:top w:val="nil"/>
              <w:left w:val="nil"/>
              <w:bottom w:val="nil"/>
              <w:right w:val="nil"/>
            </w:tcBorders>
            <w:vAlign w:val="bottom"/>
          </w:tcPr>
          <w:p w:rsidR="00512F02" w:rsidRDefault="009760CB" w:rsidP="00F51EFF">
            <w:pPr>
              <w:spacing w:before="200"/>
              <w:jc w:val="center"/>
              <w:rPr>
                <w:sz w:val="20"/>
                <w:szCs w:val="20"/>
              </w:rPr>
            </w:pPr>
            <w:r>
              <w:rPr>
                <w:sz w:val="20"/>
                <w:szCs w:val="20"/>
              </w:rPr>
              <w:t>________</w:t>
            </w:r>
          </w:p>
        </w:tc>
        <w:tc>
          <w:tcPr>
            <w:tcW w:w="1401" w:type="dxa"/>
            <w:tcBorders>
              <w:top w:val="nil"/>
              <w:left w:val="nil"/>
              <w:bottom w:val="nil"/>
              <w:right w:val="nil"/>
            </w:tcBorders>
            <w:vAlign w:val="bottom"/>
          </w:tcPr>
          <w:p w:rsidR="00512F02" w:rsidRDefault="009760CB" w:rsidP="00F51EFF">
            <w:pPr>
              <w:tabs>
                <w:tab w:val="center" w:pos="580"/>
              </w:tabs>
              <w:spacing w:before="200"/>
              <w:jc w:val="center"/>
              <w:rPr>
                <w:sz w:val="20"/>
                <w:szCs w:val="20"/>
              </w:rPr>
            </w:pPr>
            <w:r>
              <w:rPr>
                <w:sz w:val="20"/>
                <w:szCs w:val="20"/>
              </w:rPr>
              <w:t>________</w:t>
            </w:r>
          </w:p>
        </w:tc>
      </w:tr>
      <w:tr w:rsidR="00C05B7A" w:rsidTr="00F51EFF">
        <w:trPr>
          <w:cantSplit/>
          <w:trHeight w:val="441"/>
        </w:trPr>
        <w:tc>
          <w:tcPr>
            <w:tcW w:w="5697" w:type="dxa"/>
            <w:tcBorders>
              <w:top w:val="nil"/>
              <w:left w:val="nil"/>
              <w:bottom w:val="nil"/>
              <w:right w:val="nil"/>
            </w:tcBorders>
            <w:vAlign w:val="bottom"/>
          </w:tcPr>
          <w:p w:rsidR="00512F02" w:rsidRDefault="009760CB" w:rsidP="0024734A">
            <w:pPr>
              <w:tabs>
                <w:tab w:val="left" w:pos="780"/>
              </w:tabs>
              <w:ind w:left="691" w:hanging="691"/>
              <w:rPr>
                <w:sz w:val="20"/>
                <w:szCs w:val="20"/>
              </w:rPr>
            </w:pPr>
            <w:r>
              <w:rPr>
                <w:sz w:val="20"/>
                <w:szCs w:val="20"/>
              </w:rPr>
              <w:t>(d)</w:t>
            </w:r>
            <w:r>
              <w:rPr>
                <w:sz w:val="20"/>
                <w:szCs w:val="20"/>
              </w:rPr>
              <w:tab/>
              <w:t>Subtotal (a-d)</w:t>
            </w:r>
          </w:p>
          <w:p w:rsidR="0024734A" w:rsidRDefault="009760CB" w:rsidP="0024734A">
            <w:pPr>
              <w:tabs>
                <w:tab w:val="left" w:pos="780"/>
              </w:tabs>
              <w:ind w:left="691" w:hanging="691"/>
              <w:rPr>
                <w:sz w:val="20"/>
                <w:szCs w:val="20"/>
              </w:rPr>
            </w:pPr>
          </w:p>
        </w:tc>
        <w:tc>
          <w:tcPr>
            <w:tcW w:w="1540" w:type="dxa"/>
            <w:tcBorders>
              <w:top w:val="nil"/>
              <w:left w:val="nil"/>
              <w:bottom w:val="nil"/>
              <w:right w:val="nil"/>
            </w:tcBorders>
            <w:vAlign w:val="bottom"/>
          </w:tcPr>
          <w:p w:rsidR="00512F02" w:rsidRDefault="009760CB" w:rsidP="00F51EFF">
            <w:pPr>
              <w:spacing w:before="200"/>
              <w:jc w:val="center"/>
              <w:rPr>
                <w:sz w:val="20"/>
                <w:szCs w:val="20"/>
              </w:rPr>
            </w:pPr>
            <w:r>
              <w:rPr>
                <w:sz w:val="20"/>
                <w:szCs w:val="20"/>
              </w:rPr>
              <w:t>________</w:t>
            </w:r>
          </w:p>
        </w:tc>
        <w:tc>
          <w:tcPr>
            <w:tcW w:w="1401" w:type="dxa"/>
            <w:tcBorders>
              <w:top w:val="nil"/>
              <w:left w:val="nil"/>
              <w:bottom w:val="nil"/>
              <w:right w:val="nil"/>
            </w:tcBorders>
            <w:vAlign w:val="bottom"/>
          </w:tcPr>
          <w:p w:rsidR="00512F02" w:rsidRDefault="009760CB" w:rsidP="00F51EFF">
            <w:pPr>
              <w:spacing w:before="200"/>
              <w:jc w:val="center"/>
              <w:rPr>
                <w:sz w:val="20"/>
                <w:szCs w:val="20"/>
              </w:rPr>
            </w:pPr>
            <w:r>
              <w:rPr>
                <w:sz w:val="20"/>
                <w:szCs w:val="20"/>
              </w:rPr>
              <w:t>________</w:t>
            </w:r>
          </w:p>
        </w:tc>
      </w:tr>
      <w:tr w:rsidR="00C05B7A" w:rsidTr="00F51EFF">
        <w:trPr>
          <w:cantSplit/>
          <w:trHeight w:val="441"/>
        </w:trPr>
        <w:tc>
          <w:tcPr>
            <w:tcW w:w="5697" w:type="dxa"/>
            <w:tcBorders>
              <w:top w:val="nil"/>
              <w:left w:val="nil"/>
              <w:bottom w:val="nil"/>
              <w:right w:val="nil"/>
            </w:tcBorders>
            <w:vAlign w:val="bottom"/>
          </w:tcPr>
          <w:p w:rsidR="00CA71B1" w:rsidRDefault="009760CB" w:rsidP="0024734A">
            <w:pPr>
              <w:tabs>
                <w:tab w:val="left" w:pos="780"/>
              </w:tabs>
              <w:ind w:left="691" w:hanging="691"/>
              <w:rPr>
                <w:rFonts w:asciiTheme="minorHAnsi" w:hAnsiTheme="minorHAnsi" w:cstheme="minorHAnsi"/>
                <w:sz w:val="20"/>
                <w:szCs w:val="20"/>
              </w:rPr>
            </w:pPr>
            <w:r w:rsidRPr="00962848">
              <w:rPr>
                <w:rFonts w:asciiTheme="minorHAnsi" w:hAnsiTheme="minorHAnsi" w:cstheme="minorHAnsi"/>
                <w:sz w:val="20"/>
                <w:szCs w:val="20"/>
              </w:rPr>
              <w:t>(e)</w:t>
            </w:r>
            <w:r>
              <w:rPr>
                <w:rFonts w:asciiTheme="minorHAnsi" w:hAnsiTheme="minorHAnsi" w:cstheme="minorHAnsi"/>
                <w:sz w:val="20"/>
                <w:szCs w:val="20"/>
              </w:rPr>
              <w:t xml:space="preserve">         </w:t>
            </w:r>
            <w:r w:rsidRPr="00962848">
              <w:rPr>
                <w:rFonts w:asciiTheme="minorHAnsi" w:hAnsiTheme="minorHAnsi" w:cstheme="minorHAnsi"/>
                <w:sz w:val="20"/>
                <w:szCs w:val="20"/>
              </w:rPr>
              <w:t xml:space="preserve">If Subcontractor performed work, add Subcontractor’s overhead and profit to portions performed by Subcontractor, not to exceed </w:t>
            </w:r>
            <w:r>
              <w:rPr>
                <w:rFonts w:asciiTheme="minorHAnsi" w:hAnsiTheme="minorHAnsi" w:cstheme="minorHAnsi"/>
                <w:sz w:val="20"/>
                <w:szCs w:val="20"/>
              </w:rPr>
              <w:t>10%</w:t>
            </w:r>
            <w:r w:rsidRPr="00962848">
              <w:rPr>
                <w:rFonts w:asciiTheme="minorHAnsi" w:hAnsiTheme="minorHAnsi" w:cstheme="minorHAnsi"/>
                <w:sz w:val="20"/>
                <w:szCs w:val="20"/>
              </w:rPr>
              <w:t xml:space="preserve"> of item (d).</w:t>
            </w:r>
          </w:p>
          <w:p w:rsidR="0024734A" w:rsidRDefault="009760CB" w:rsidP="0024734A">
            <w:pPr>
              <w:tabs>
                <w:tab w:val="left" w:pos="780"/>
              </w:tabs>
              <w:ind w:left="691" w:hanging="691"/>
              <w:rPr>
                <w:sz w:val="20"/>
                <w:szCs w:val="20"/>
              </w:rPr>
            </w:pPr>
          </w:p>
        </w:tc>
        <w:tc>
          <w:tcPr>
            <w:tcW w:w="1540" w:type="dxa"/>
            <w:tcBorders>
              <w:top w:val="nil"/>
              <w:left w:val="nil"/>
              <w:bottom w:val="nil"/>
              <w:right w:val="nil"/>
            </w:tcBorders>
            <w:vAlign w:val="bottom"/>
          </w:tcPr>
          <w:p w:rsidR="00CA71B1" w:rsidRDefault="009760CB" w:rsidP="00F51EFF">
            <w:pPr>
              <w:spacing w:before="200"/>
              <w:jc w:val="center"/>
              <w:rPr>
                <w:sz w:val="20"/>
                <w:szCs w:val="20"/>
              </w:rPr>
            </w:pPr>
            <w:r>
              <w:rPr>
                <w:sz w:val="20"/>
                <w:szCs w:val="20"/>
              </w:rPr>
              <w:t>________</w:t>
            </w:r>
          </w:p>
        </w:tc>
        <w:tc>
          <w:tcPr>
            <w:tcW w:w="1401" w:type="dxa"/>
            <w:tcBorders>
              <w:top w:val="nil"/>
              <w:left w:val="nil"/>
              <w:bottom w:val="nil"/>
              <w:right w:val="nil"/>
            </w:tcBorders>
            <w:vAlign w:val="bottom"/>
          </w:tcPr>
          <w:p w:rsidR="00CA71B1" w:rsidRDefault="009760CB" w:rsidP="00F51EFF">
            <w:pPr>
              <w:spacing w:before="200"/>
              <w:jc w:val="center"/>
              <w:rPr>
                <w:sz w:val="20"/>
                <w:szCs w:val="20"/>
              </w:rPr>
            </w:pPr>
            <w:r>
              <w:rPr>
                <w:sz w:val="20"/>
                <w:szCs w:val="20"/>
              </w:rPr>
              <w:t>________</w:t>
            </w:r>
          </w:p>
        </w:tc>
      </w:tr>
      <w:tr w:rsidR="00C05B7A" w:rsidTr="0024734A">
        <w:trPr>
          <w:cantSplit/>
          <w:trHeight w:val="342"/>
        </w:trPr>
        <w:tc>
          <w:tcPr>
            <w:tcW w:w="5697" w:type="dxa"/>
            <w:tcBorders>
              <w:top w:val="nil"/>
              <w:left w:val="nil"/>
              <w:bottom w:val="nil"/>
              <w:right w:val="nil"/>
            </w:tcBorders>
            <w:vAlign w:val="bottom"/>
          </w:tcPr>
          <w:p w:rsidR="00CA71B1" w:rsidRDefault="009760CB" w:rsidP="0024734A">
            <w:pPr>
              <w:tabs>
                <w:tab w:val="left" w:pos="780"/>
              </w:tabs>
              <w:ind w:left="691" w:hanging="691"/>
              <w:rPr>
                <w:sz w:val="20"/>
                <w:szCs w:val="20"/>
              </w:rPr>
            </w:pPr>
            <w:r>
              <w:rPr>
                <w:sz w:val="20"/>
                <w:szCs w:val="20"/>
              </w:rPr>
              <w:t>(f)</w:t>
            </w:r>
            <w:r>
              <w:rPr>
                <w:sz w:val="20"/>
                <w:szCs w:val="20"/>
              </w:rPr>
              <w:tab/>
              <w:t>Subtotal</w:t>
            </w:r>
          </w:p>
          <w:p w:rsidR="0024734A" w:rsidRPr="00962848" w:rsidRDefault="009760CB" w:rsidP="0024734A">
            <w:pPr>
              <w:tabs>
                <w:tab w:val="left" w:pos="780"/>
              </w:tabs>
              <w:ind w:left="691" w:hanging="691"/>
              <w:rPr>
                <w:rFonts w:asciiTheme="minorHAnsi" w:hAnsiTheme="minorHAnsi" w:cstheme="minorHAnsi"/>
                <w:sz w:val="20"/>
                <w:szCs w:val="20"/>
              </w:rPr>
            </w:pPr>
          </w:p>
        </w:tc>
        <w:tc>
          <w:tcPr>
            <w:tcW w:w="1540" w:type="dxa"/>
            <w:tcBorders>
              <w:top w:val="nil"/>
              <w:left w:val="nil"/>
              <w:bottom w:val="nil"/>
              <w:right w:val="nil"/>
            </w:tcBorders>
            <w:vAlign w:val="bottom"/>
          </w:tcPr>
          <w:p w:rsidR="00CA71B1" w:rsidRDefault="009760CB" w:rsidP="00F51EFF">
            <w:pPr>
              <w:spacing w:before="200"/>
              <w:jc w:val="center"/>
              <w:rPr>
                <w:sz w:val="20"/>
                <w:szCs w:val="20"/>
              </w:rPr>
            </w:pPr>
            <w:r>
              <w:rPr>
                <w:sz w:val="20"/>
                <w:szCs w:val="20"/>
              </w:rPr>
              <w:t>________</w:t>
            </w:r>
          </w:p>
        </w:tc>
        <w:tc>
          <w:tcPr>
            <w:tcW w:w="1401" w:type="dxa"/>
            <w:tcBorders>
              <w:top w:val="nil"/>
              <w:left w:val="nil"/>
              <w:bottom w:val="nil"/>
              <w:right w:val="nil"/>
            </w:tcBorders>
            <w:vAlign w:val="bottom"/>
          </w:tcPr>
          <w:p w:rsidR="00CA71B1" w:rsidRDefault="009760CB" w:rsidP="00F51EFF">
            <w:pPr>
              <w:spacing w:before="200"/>
              <w:jc w:val="center"/>
              <w:rPr>
                <w:sz w:val="20"/>
                <w:szCs w:val="20"/>
              </w:rPr>
            </w:pPr>
            <w:r>
              <w:rPr>
                <w:sz w:val="20"/>
                <w:szCs w:val="20"/>
              </w:rPr>
              <w:t>________</w:t>
            </w:r>
          </w:p>
        </w:tc>
      </w:tr>
      <w:tr w:rsidR="00C05B7A" w:rsidTr="00F51EFF">
        <w:trPr>
          <w:cantSplit/>
          <w:trHeight w:val="954"/>
        </w:trPr>
        <w:tc>
          <w:tcPr>
            <w:tcW w:w="5697" w:type="dxa"/>
            <w:tcBorders>
              <w:top w:val="nil"/>
              <w:left w:val="nil"/>
              <w:bottom w:val="nil"/>
              <w:right w:val="nil"/>
            </w:tcBorders>
            <w:vAlign w:val="bottom"/>
          </w:tcPr>
          <w:p w:rsidR="00CA71B1" w:rsidRDefault="009760CB" w:rsidP="0024734A">
            <w:pPr>
              <w:tabs>
                <w:tab w:val="left" w:pos="690"/>
              </w:tabs>
              <w:ind w:left="691" w:hanging="691"/>
              <w:rPr>
                <w:rFonts w:asciiTheme="minorHAnsi" w:hAnsiTheme="minorHAnsi" w:cstheme="minorHAnsi"/>
                <w:sz w:val="20"/>
                <w:szCs w:val="20"/>
              </w:rPr>
            </w:pPr>
            <w:r w:rsidRPr="00962848">
              <w:rPr>
                <w:rFonts w:asciiTheme="minorHAnsi" w:hAnsiTheme="minorHAnsi" w:cstheme="minorHAnsi"/>
                <w:sz w:val="20"/>
                <w:szCs w:val="20"/>
              </w:rPr>
              <w:t>(g)</w:t>
            </w:r>
            <w:r w:rsidRPr="00962848">
              <w:rPr>
                <w:rFonts w:asciiTheme="minorHAnsi" w:hAnsiTheme="minorHAnsi" w:cstheme="minorHAnsi"/>
                <w:sz w:val="20"/>
                <w:szCs w:val="20"/>
              </w:rPr>
              <w:tab/>
              <w:t xml:space="preserve">Contractor’s Overhead and Profit: Not to exceed </w:t>
            </w:r>
            <w:r>
              <w:rPr>
                <w:rFonts w:asciiTheme="minorHAnsi" w:hAnsiTheme="minorHAnsi" w:cstheme="minorHAnsi"/>
                <w:sz w:val="20"/>
                <w:szCs w:val="20"/>
              </w:rPr>
              <w:t>10%</w:t>
            </w:r>
            <w:r w:rsidRPr="00962848">
              <w:rPr>
                <w:rFonts w:asciiTheme="minorHAnsi" w:hAnsiTheme="minorHAnsi" w:cstheme="minorHAnsi"/>
                <w:sz w:val="20"/>
                <w:szCs w:val="20"/>
              </w:rPr>
              <w:t xml:space="preserve"> of Item (d) if Contractor performed the work. </w:t>
            </w:r>
            <w:r>
              <w:rPr>
                <w:rFonts w:asciiTheme="minorHAnsi" w:hAnsiTheme="minorHAnsi" w:cstheme="minorHAnsi"/>
                <w:sz w:val="20"/>
                <w:szCs w:val="20"/>
              </w:rPr>
              <w:t xml:space="preserve"> No more than 5%</w:t>
            </w:r>
            <w:r>
              <w:rPr>
                <w:rFonts w:asciiTheme="minorHAnsi" w:hAnsiTheme="minorHAnsi" w:cstheme="minorHAnsi"/>
                <w:sz w:val="20"/>
                <w:szCs w:val="20"/>
              </w:rPr>
              <w:t xml:space="preserve"> of Item (d</w:t>
            </w:r>
            <w:r w:rsidRPr="00962848">
              <w:rPr>
                <w:rFonts w:asciiTheme="minorHAnsi" w:hAnsiTheme="minorHAnsi" w:cstheme="minorHAnsi"/>
                <w:sz w:val="20"/>
                <w:szCs w:val="20"/>
              </w:rPr>
              <w:t>) if Subcontractor performed the work.  If work was performed by Contractor and Subcontractors, portions performed by Contractor sh</w:t>
            </w:r>
            <w:r>
              <w:rPr>
                <w:rFonts w:asciiTheme="minorHAnsi" w:hAnsiTheme="minorHAnsi" w:cstheme="minorHAnsi"/>
                <w:sz w:val="20"/>
                <w:szCs w:val="20"/>
              </w:rPr>
              <w:t>all not exceed 10%</w:t>
            </w:r>
            <w:r w:rsidRPr="00962848">
              <w:rPr>
                <w:rFonts w:asciiTheme="minorHAnsi" w:hAnsiTheme="minorHAnsi" w:cstheme="minorHAnsi"/>
                <w:sz w:val="20"/>
                <w:szCs w:val="20"/>
              </w:rPr>
              <w:t xml:space="preserve"> if Item (d), and portions perfor</w:t>
            </w:r>
            <w:r w:rsidRPr="00962848">
              <w:rPr>
                <w:rFonts w:asciiTheme="minorHAnsi" w:hAnsiTheme="minorHAnsi" w:cstheme="minorHAnsi"/>
                <w:sz w:val="20"/>
                <w:szCs w:val="20"/>
              </w:rPr>
              <w:t>med by Subcontractor</w:t>
            </w:r>
            <w:r>
              <w:rPr>
                <w:rFonts w:asciiTheme="minorHAnsi" w:hAnsiTheme="minorHAnsi" w:cstheme="minorHAnsi"/>
                <w:sz w:val="20"/>
                <w:szCs w:val="20"/>
              </w:rPr>
              <w:t xml:space="preserve"> shall not exceed 10% of Item (d</w:t>
            </w:r>
            <w:r w:rsidRPr="00962848">
              <w:rPr>
                <w:rFonts w:asciiTheme="minorHAnsi" w:hAnsiTheme="minorHAnsi" w:cstheme="minorHAnsi"/>
                <w:sz w:val="20"/>
                <w:szCs w:val="20"/>
              </w:rPr>
              <w:t>)</w:t>
            </w:r>
          </w:p>
          <w:p w:rsidR="0024734A" w:rsidRPr="00962848" w:rsidRDefault="009760CB" w:rsidP="0024734A">
            <w:pPr>
              <w:tabs>
                <w:tab w:val="left" w:pos="690"/>
              </w:tabs>
              <w:ind w:left="691" w:hanging="691"/>
              <w:rPr>
                <w:rFonts w:asciiTheme="minorHAnsi" w:hAnsiTheme="minorHAnsi" w:cstheme="minorHAnsi"/>
                <w:sz w:val="20"/>
                <w:szCs w:val="20"/>
              </w:rPr>
            </w:pPr>
          </w:p>
        </w:tc>
        <w:tc>
          <w:tcPr>
            <w:tcW w:w="1540" w:type="dxa"/>
            <w:tcBorders>
              <w:top w:val="nil"/>
              <w:left w:val="nil"/>
              <w:bottom w:val="nil"/>
              <w:right w:val="nil"/>
            </w:tcBorders>
            <w:vAlign w:val="bottom"/>
          </w:tcPr>
          <w:p w:rsidR="00CA71B1" w:rsidRDefault="009760CB" w:rsidP="00F51EFF">
            <w:pPr>
              <w:spacing w:before="200"/>
              <w:jc w:val="center"/>
              <w:rPr>
                <w:sz w:val="20"/>
                <w:szCs w:val="20"/>
              </w:rPr>
            </w:pPr>
            <w:r>
              <w:rPr>
                <w:sz w:val="20"/>
                <w:szCs w:val="20"/>
              </w:rPr>
              <w:t>________</w:t>
            </w:r>
          </w:p>
        </w:tc>
        <w:tc>
          <w:tcPr>
            <w:tcW w:w="1401" w:type="dxa"/>
            <w:tcBorders>
              <w:top w:val="nil"/>
              <w:left w:val="nil"/>
              <w:bottom w:val="nil"/>
              <w:right w:val="nil"/>
            </w:tcBorders>
            <w:vAlign w:val="bottom"/>
          </w:tcPr>
          <w:p w:rsidR="00CA71B1" w:rsidRDefault="009760CB" w:rsidP="00F51EFF">
            <w:pPr>
              <w:spacing w:before="200"/>
              <w:jc w:val="center"/>
              <w:rPr>
                <w:sz w:val="20"/>
                <w:szCs w:val="20"/>
              </w:rPr>
            </w:pPr>
            <w:r>
              <w:rPr>
                <w:sz w:val="20"/>
                <w:szCs w:val="20"/>
              </w:rPr>
              <w:t>________</w:t>
            </w:r>
          </w:p>
        </w:tc>
      </w:tr>
      <w:tr w:rsidR="00C05B7A" w:rsidTr="00F51EFF">
        <w:trPr>
          <w:cantSplit/>
          <w:trHeight w:val="486"/>
        </w:trPr>
        <w:tc>
          <w:tcPr>
            <w:tcW w:w="5697" w:type="dxa"/>
            <w:tcBorders>
              <w:top w:val="nil"/>
              <w:left w:val="nil"/>
              <w:bottom w:val="nil"/>
              <w:right w:val="nil"/>
            </w:tcBorders>
            <w:vAlign w:val="bottom"/>
          </w:tcPr>
          <w:p w:rsidR="00CA71B1" w:rsidRDefault="009760CB" w:rsidP="0024734A">
            <w:pPr>
              <w:tabs>
                <w:tab w:val="left" w:pos="690"/>
              </w:tabs>
              <w:ind w:left="691" w:hanging="691"/>
              <w:rPr>
                <w:sz w:val="20"/>
                <w:szCs w:val="20"/>
              </w:rPr>
            </w:pPr>
            <w:r>
              <w:rPr>
                <w:sz w:val="20"/>
                <w:szCs w:val="20"/>
              </w:rPr>
              <w:t>(h)</w:t>
            </w:r>
            <w:r>
              <w:rPr>
                <w:sz w:val="20"/>
                <w:szCs w:val="20"/>
              </w:rPr>
              <w:tab/>
              <w:t>Subtotal</w:t>
            </w:r>
          </w:p>
          <w:p w:rsidR="0024734A" w:rsidRPr="00962848" w:rsidRDefault="009760CB" w:rsidP="0024734A">
            <w:pPr>
              <w:tabs>
                <w:tab w:val="left" w:pos="690"/>
              </w:tabs>
              <w:ind w:left="691" w:hanging="691"/>
              <w:rPr>
                <w:rFonts w:asciiTheme="minorHAnsi" w:hAnsiTheme="minorHAnsi" w:cstheme="minorHAnsi"/>
                <w:sz w:val="20"/>
                <w:szCs w:val="20"/>
              </w:rPr>
            </w:pPr>
          </w:p>
        </w:tc>
        <w:tc>
          <w:tcPr>
            <w:tcW w:w="1540" w:type="dxa"/>
            <w:tcBorders>
              <w:top w:val="nil"/>
              <w:left w:val="nil"/>
              <w:bottom w:val="nil"/>
              <w:right w:val="nil"/>
            </w:tcBorders>
            <w:vAlign w:val="bottom"/>
          </w:tcPr>
          <w:p w:rsidR="00CA71B1" w:rsidRDefault="009760CB" w:rsidP="00F51EFF">
            <w:pPr>
              <w:spacing w:before="200"/>
              <w:jc w:val="center"/>
              <w:rPr>
                <w:sz w:val="20"/>
                <w:szCs w:val="20"/>
              </w:rPr>
            </w:pPr>
            <w:r>
              <w:rPr>
                <w:sz w:val="20"/>
                <w:szCs w:val="20"/>
              </w:rPr>
              <w:t>________</w:t>
            </w:r>
          </w:p>
        </w:tc>
        <w:tc>
          <w:tcPr>
            <w:tcW w:w="1401" w:type="dxa"/>
            <w:tcBorders>
              <w:top w:val="nil"/>
              <w:left w:val="nil"/>
              <w:bottom w:val="nil"/>
              <w:right w:val="nil"/>
            </w:tcBorders>
            <w:vAlign w:val="bottom"/>
          </w:tcPr>
          <w:p w:rsidR="00CA71B1" w:rsidRDefault="009760CB" w:rsidP="00F51EFF">
            <w:pPr>
              <w:spacing w:before="200"/>
              <w:jc w:val="center"/>
              <w:rPr>
                <w:sz w:val="20"/>
                <w:szCs w:val="20"/>
              </w:rPr>
            </w:pPr>
            <w:r>
              <w:rPr>
                <w:sz w:val="20"/>
                <w:szCs w:val="20"/>
              </w:rPr>
              <w:t>________</w:t>
            </w:r>
          </w:p>
        </w:tc>
      </w:tr>
      <w:tr w:rsidR="00C05B7A" w:rsidTr="00F51EFF">
        <w:trPr>
          <w:cantSplit/>
          <w:trHeight w:val="486"/>
        </w:trPr>
        <w:tc>
          <w:tcPr>
            <w:tcW w:w="5697" w:type="dxa"/>
            <w:tcBorders>
              <w:top w:val="nil"/>
              <w:left w:val="nil"/>
              <w:bottom w:val="nil"/>
              <w:right w:val="nil"/>
            </w:tcBorders>
            <w:vAlign w:val="bottom"/>
          </w:tcPr>
          <w:p w:rsidR="00CA71B1" w:rsidRDefault="009760CB" w:rsidP="0024734A">
            <w:pPr>
              <w:tabs>
                <w:tab w:val="left" w:pos="690"/>
              </w:tabs>
              <w:ind w:left="691" w:hanging="691"/>
              <w:rPr>
                <w:sz w:val="20"/>
                <w:szCs w:val="20"/>
              </w:rPr>
            </w:pPr>
            <w:r>
              <w:rPr>
                <w:sz w:val="20"/>
                <w:szCs w:val="20"/>
              </w:rPr>
              <w:t>(i)</w:t>
            </w:r>
            <w:r>
              <w:rPr>
                <w:sz w:val="20"/>
                <w:szCs w:val="20"/>
              </w:rPr>
              <w:tab/>
            </w:r>
            <w:r w:rsidRPr="00032E8C">
              <w:rPr>
                <w:sz w:val="20"/>
                <w:szCs w:val="20"/>
              </w:rPr>
              <w:t>Bond not to ex</w:t>
            </w:r>
            <w:r>
              <w:rPr>
                <w:sz w:val="20"/>
                <w:szCs w:val="20"/>
              </w:rPr>
              <w:t>ceed one percent (1%) of Item (h</w:t>
            </w:r>
            <w:r w:rsidRPr="00032E8C">
              <w:rPr>
                <w:sz w:val="20"/>
                <w:szCs w:val="20"/>
              </w:rPr>
              <w:t>)</w:t>
            </w:r>
          </w:p>
          <w:p w:rsidR="0024734A" w:rsidRDefault="009760CB" w:rsidP="0024734A">
            <w:pPr>
              <w:tabs>
                <w:tab w:val="left" w:pos="690"/>
              </w:tabs>
              <w:ind w:left="691" w:hanging="691"/>
              <w:rPr>
                <w:sz w:val="20"/>
                <w:szCs w:val="20"/>
              </w:rPr>
            </w:pPr>
          </w:p>
        </w:tc>
        <w:tc>
          <w:tcPr>
            <w:tcW w:w="1540" w:type="dxa"/>
            <w:tcBorders>
              <w:top w:val="nil"/>
              <w:left w:val="nil"/>
              <w:bottom w:val="nil"/>
              <w:right w:val="nil"/>
            </w:tcBorders>
            <w:vAlign w:val="bottom"/>
          </w:tcPr>
          <w:p w:rsidR="00CA71B1" w:rsidRDefault="009760CB" w:rsidP="00F51EFF">
            <w:pPr>
              <w:spacing w:before="200"/>
              <w:jc w:val="center"/>
              <w:rPr>
                <w:sz w:val="20"/>
                <w:szCs w:val="20"/>
              </w:rPr>
            </w:pPr>
            <w:r>
              <w:rPr>
                <w:sz w:val="20"/>
                <w:szCs w:val="20"/>
              </w:rPr>
              <w:t>________</w:t>
            </w:r>
          </w:p>
        </w:tc>
        <w:tc>
          <w:tcPr>
            <w:tcW w:w="1401" w:type="dxa"/>
            <w:tcBorders>
              <w:top w:val="nil"/>
              <w:left w:val="nil"/>
              <w:bottom w:val="nil"/>
              <w:right w:val="nil"/>
            </w:tcBorders>
            <w:vAlign w:val="bottom"/>
          </w:tcPr>
          <w:p w:rsidR="00CA71B1" w:rsidRDefault="009760CB" w:rsidP="00F51EFF">
            <w:pPr>
              <w:spacing w:before="200"/>
              <w:jc w:val="center"/>
              <w:rPr>
                <w:sz w:val="20"/>
                <w:szCs w:val="20"/>
              </w:rPr>
            </w:pPr>
            <w:r>
              <w:rPr>
                <w:sz w:val="20"/>
                <w:szCs w:val="20"/>
              </w:rPr>
              <w:t>________</w:t>
            </w:r>
          </w:p>
        </w:tc>
      </w:tr>
      <w:tr w:rsidR="00C05B7A" w:rsidTr="00F51EFF">
        <w:trPr>
          <w:cantSplit/>
          <w:trHeight w:val="486"/>
        </w:trPr>
        <w:tc>
          <w:tcPr>
            <w:tcW w:w="5697" w:type="dxa"/>
            <w:tcBorders>
              <w:top w:val="nil"/>
              <w:left w:val="nil"/>
              <w:bottom w:val="nil"/>
              <w:right w:val="nil"/>
            </w:tcBorders>
            <w:vAlign w:val="bottom"/>
          </w:tcPr>
          <w:p w:rsidR="00CA71B1" w:rsidRDefault="009760CB" w:rsidP="0024734A">
            <w:pPr>
              <w:tabs>
                <w:tab w:val="left" w:pos="690"/>
              </w:tabs>
              <w:ind w:left="691" w:hanging="691"/>
              <w:rPr>
                <w:sz w:val="20"/>
                <w:szCs w:val="20"/>
              </w:rPr>
            </w:pPr>
            <w:r>
              <w:rPr>
                <w:sz w:val="20"/>
                <w:szCs w:val="20"/>
              </w:rPr>
              <w:t>(j)</w:t>
            </w:r>
            <w:r>
              <w:rPr>
                <w:sz w:val="20"/>
                <w:szCs w:val="20"/>
              </w:rPr>
              <w:tab/>
              <w:t>TOTAL</w:t>
            </w:r>
          </w:p>
          <w:p w:rsidR="0024734A" w:rsidRDefault="009760CB" w:rsidP="0024734A">
            <w:pPr>
              <w:tabs>
                <w:tab w:val="left" w:pos="690"/>
              </w:tabs>
              <w:ind w:left="691" w:hanging="691"/>
              <w:rPr>
                <w:sz w:val="20"/>
                <w:szCs w:val="20"/>
              </w:rPr>
            </w:pPr>
          </w:p>
        </w:tc>
        <w:tc>
          <w:tcPr>
            <w:tcW w:w="1540" w:type="dxa"/>
            <w:tcBorders>
              <w:top w:val="nil"/>
              <w:left w:val="nil"/>
              <w:bottom w:val="nil"/>
              <w:right w:val="nil"/>
            </w:tcBorders>
            <w:vAlign w:val="bottom"/>
          </w:tcPr>
          <w:p w:rsidR="00CA71B1" w:rsidRDefault="009760CB" w:rsidP="00F51EFF">
            <w:pPr>
              <w:spacing w:before="200"/>
              <w:jc w:val="center"/>
              <w:rPr>
                <w:sz w:val="20"/>
                <w:szCs w:val="20"/>
              </w:rPr>
            </w:pPr>
            <w:r>
              <w:rPr>
                <w:sz w:val="20"/>
                <w:szCs w:val="20"/>
              </w:rPr>
              <w:t>________</w:t>
            </w:r>
          </w:p>
        </w:tc>
        <w:tc>
          <w:tcPr>
            <w:tcW w:w="1401" w:type="dxa"/>
            <w:tcBorders>
              <w:top w:val="nil"/>
              <w:left w:val="nil"/>
              <w:bottom w:val="nil"/>
              <w:right w:val="nil"/>
            </w:tcBorders>
            <w:vAlign w:val="bottom"/>
          </w:tcPr>
          <w:p w:rsidR="00CA71B1" w:rsidRDefault="009760CB" w:rsidP="00F51EFF">
            <w:pPr>
              <w:spacing w:before="200"/>
              <w:jc w:val="center"/>
              <w:rPr>
                <w:sz w:val="20"/>
                <w:szCs w:val="20"/>
              </w:rPr>
            </w:pPr>
            <w:r>
              <w:rPr>
                <w:sz w:val="20"/>
                <w:szCs w:val="20"/>
              </w:rPr>
              <w:t>________</w:t>
            </w:r>
          </w:p>
        </w:tc>
      </w:tr>
      <w:tr w:rsidR="00C05B7A" w:rsidTr="00F51EFF">
        <w:trPr>
          <w:cantSplit/>
          <w:trHeight w:val="486"/>
        </w:trPr>
        <w:tc>
          <w:tcPr>
            <w:tcW w:w="5697" w:type="dxa"/>
            <w:tcBorders>
              <w:top w:val="nil"/>
              <w:left w:val="nil"/>
              <w:bottom w:val="nil"/>
              <w:right w:val="nil"/>
            </w:tcBorders>
            <w:vAlign w:val="bottom"/>
          </w:tcPr>
          <w:p w:rsidR="00CA71B1" w:rsidRDefault="009760CB" w:rsidP="0024734A">
            <w:pPr>
              <w:tabs>
                <w:tab w:val="left" w:pos="690"/>
              </w:tabs>
              <w:ind w:left="691" w:hanging="691"/>
              <w:rPr>
                <w:sz w:val="20"/>
                <w:szCs w:val="20"/>
              </w:rPr>
            </w:pPr>
            <w:r>
              <w:rPr>
                <w:sz w:val="20"/>
                <w:szCs w:val="20"/>
              </w:rPr>
              <w:t>(k)</w:t>
            </w:r>
            <w:r>
              <w:rPr>
                <w:sz w:val="20"/>
                <w:szCs w:val="20"/>
              </w:rPr>
              <w:tab/>
              <w:t>Time/ Days</w:t>
            </w:r>
          </w:p>
          <w:p w:rsidR="0024734A" w:rsidRDefault="009760CB" w:rsidP="0024734A">
            <w:pPr>
              <w:tabs>
                <w:tab w:val="left" w:pos="690"/>
              </w:tabs>
              <w:ind w:left="691" w:hanging="691"/>
              <w:rPr>
                <w:sz w:val="20"/>
                <w:szCs w:val="20"/>
              </w:rPr>
            </w:pPr>
          </w:p>
        </w:tc>
        <w:tc>
          <w:tcPr>
            <w:tcW w:w="1540" w:type="dxa"/>
            <w:tcBorders>
              <w:top w:val="nil"/>
              <w:left w:val="nil"/>
              <w:bottom w:val="nil"/>
              <w:right w:val="nil"/>
            </w:tcBorders>
            <w:vAlign w:val="bottom"/>
          </w:tcPr>
          <w:p w:rsidR="00CA71B1" w:rsidRDefault="009760CB" w:rsidP="00F51EFF">
            <w:pPr>
              <w:spacing w:before="200"/>
              <w:jc w:val="center"/>
              <w:rPr>
                <w:sz w:val="20"/>
                <w:szCs w:val="20"/>
              </w:rPr>
            </w:pPr>
          </w:p>
        </w:tc>
        <w:tc>
          <w:tcPr>
            <w:tcW w:w="1401" w:type="dxa"/>
            <w:tcBorders>
              <w:top w:val="nil"/>
              <w:left w:val="nil"/>
              <w:bottom w:val="nil"/>
              <w:right w:val="nil"/>
            </w:tcBorders>
            <w:vAlign w:val="bottom"/>
          </w:tcPr>
          <w:p w:rsidR="00CA71B1" w:rsidRDefault="009760CB" w:rsidP="00F51EFF">
            <w:pPr>
              <w:spacing w:before="200"/>
              <w:jc w:val="center"/>
              <w:rPr>
                <w:sz w:val="20"/>
                <w:szCs w:val="20"/>
              </w:rPr>
            </w:pPr>
          </w:p>
        </w:tc>
      </w:tr>
    </w:tbl>
    <w:p w:rsidR="00E4078C" w:rsidRDefault="009760CB">
      <w:pPr>
        <w:pStyle w:val="BodyTextFlush"/>
        <w:spacing w:before="200"/>
        <w:rPr>
          <w:sz w:val="20"/>
          <w:szCs w:val="20"/>
        </w:rPr>
      </w:pPr>
      <w:r>
        <w:rPr>
          <w:sz w:val="20"/>
          <w:szCs w:val="20"/>
        </w:rPr>
        <w:br/>
      </w:r>
      <w:r>
        <w:rPr>
          <w:sz w:val="20"/>
          <w:szCs w:val="20"/>
        </w:rPr>
        <w:t xml:space="preserve">The undersigned Contractor approves the foregoing </w:t>
      </w:r>
      <w:r>
        <w:rPr>
          <w:sz w:val="20"/>
          <w:szCs w:val="20"/>
        </w:rPr>
        <w:t>Extra Work</w:t>
      </w:r>
      <w:r>
        <w:rPr>
          <w:sz w:val="20"/>
          <w:szCs w:val="20"/>
        </w:rPr>
        <w:t xml:space="preserve"> as to the changes, if any, and the contract price specified for each item and as to the extension of time allowed, if any, for completion of the entire work on account of said </w:t>
      </w:r>
      <w:r>
        <w:rPr>
          <w:sz w:val="20"/>
          <w:szCs w:val="20"/>
        </w:rPr>
        <w:t>Extra Work</w:t>
      </w:r>
      <w:r>
        <w:rPr>
          <w:sz w:val="20"/>
          <w:szCs w:val="20"/>
        </w:rPr>
        <w:t>, and agr</w:t>
      </w:r>
      <w:r>
        <w:rPr>
          <w:sz w:val="20"/>
          <w:szCs w:val="20"/>
        </w:rPr>
        <w:t xml:space="preserve">ees to furnish all labor, materials and service and perform all work necessary to complete any additional work specified therein, for the consideration stated herein.  It is understood that said </w:t>
      </w:r>
      <w:r>
        <w:rPr>
          <w:sz w:val="20"/>
          <w:szCs w:val="20"/>
        </w:rPr>
        <w:t>Extra Work</w:t>
      </w:r>
      <w:r>
        <w:rPr>
          <w:sz w:val="20"/>
          <w:szCs w:val="20"/>
        </w:rPr>
        <w:t xml:space="preserve"> shall be effective</w:t>
      </w:r>
      <w:r>
        <w:rPr>
          <w:sz w:val="20"/>
          <w:szCs w:val="20"/>
        </w:rPr>
        <w:t xml:space="preserve"> upon approval from the District</w:t>
      </w:r>
      <w:r>
        <w:rPr>
          <w:sz w:val="20"/>
          <w:szCs w:val="20"/>
        </w:rPr>
        <w:t>’s Designee if such amounts are against the GMP and if Owner Contingency is used</w:t>
      </w:r>
      <w:r>
        <w:rPr>
          <w:sz w:val="20"/>
          <w:szCs w:val="20"/>
        </w:rPr>
        <w:t xml:space="preserve"> when approved by the Governing Board of the District.</w:t>
      </w:r>
    </w:p>
    <w:p w:rsidR="00E4078C" w:rsidRDefault="009760CB">
      <w:pPr>
        <w:pStyle w:val="BodyTextFlush"/>
        <w:spacing w:before="200"/>
        <w:rPr>
          <w:sz w:val="20"/>
          <w:szCs w:val="20"/>
        </w:rPr>
      </w:pPr>
      <w:r>
        <w:rPr>
          <w:sz w:val="20"/>
          <w:szCs w:val="20"/>
        </w:rPr>
        <w:t>It is expressly understood that the value of such extra Work or changes, as determined by any of the aforementioned metho</w:t>
      </w:r>
      <w:r>
        <w:rPr>
          <w:sz w:val="20"/>
          <w:szCs w:val="20"/>
        </w:rPr>
        <w:t>ds, expressly includes any and all of the Contractor’s costs and expenses, both direct and indirect, resulting from additional time required on the Project or resulting from delay to the Project.  Any costs, expenses, damages or time extensions not include</w:t>
      </w:r>
      <w:r>
        <w:rPr>
          <w:sz w:val="20"/>
          <w:szCs w:val="20"/>
        </w:rPr>
        <w:t>d are deemed waived.</w:t>
      </w:r>
    </w:p>
    <w:p w:rsidR="00E4078C" w:rsidRDefault="009760CB">
      <w:pPr>
        <w:pStyle w:val="BodyTextFlush"/>
        <w:spacing w:before="200"/>
        <w:rPr>
          <w:sz w:val="20"/>
          <w:szCs w:val="20"/>
        </w:rPr>
      </w:pPr>
      <w:r>
        <w:rPr>
          <w:sz w:val="20"/>
          <w:szCs w:val="20"/>
        </w:rPr>
        <w:t>The Contractor expressly acknowledges and agrees that any change in the Work performed shall not be deemed to constitute a delay or other basis for claiming additional compensation based on theories including, but not limited to, accel</w:t>
      </w:r>
      <w:r>
        <w:rPr>
          <w:sz w:val="20"/>
          <w:szCs w:val="20"/>
        </w:rPr>
        <w:t>eration, suspension or disruption to the Project.</w:t>
      </w:r>
    </w:p>
    <w:p w:rsidR="00E4078C" w:rsidRDefault="009760CB">
      <w:pPr>
        <w:pStyle w:val="Heading3"/>
      </w:pPr>
      <w:bookmarkStart w:id="118" w:name="_Ref472595967"/>
      <w:r>
        <w:lastRenderedPageBreak/>
        <w:t>Should Contractor claim that any instruction, request, drawing, specification, action, condition, omission, default, or other situation (i) obligates the District to pay additional compensation to the Contr</w:t>
      </w:r>
      <w:r>
        <w:t xml:space="preserve">actor; or (ii) obligates the District to grant an extension of time for the completion of the Construction Services Agreement; or (iii) constitutes a waiver of any provision in this Construction Services Agreement, CONTRACTOR SHALL NOTIFY THE DISTRICT, IN </w:t>
      </w:r>
      <w:r>
        <w:t>WRITING, OF SUCH CLAIM AS SOON AS POSSIBLE, BUT IN NO EVENT WITHIN MORE THAN TEN (10) BUSINESS DAYS FROM THE DATE CONTRACTOR HAS ACTUAL OR CONSTRUCTIVE NOTICE OF THE CLAIM. CONTRACTOR SHALL ALSO PROVIDE DISTRICT WITH SUFFICIENT WRITTEN DOCUMENTATION SUPPOR</w:t>
      </w:r>
      <w:r>
        <w:t>TING THE FACTUAL BASIS OF THE CLAIM under Article 20. Contractor shall be required to certify under penalty of perjury the validity and accuracy of any claims submitted. The Contractor’s failure to notify the District within the ten (10) business day perio</w:t>
      </w:r>
      <w:r>
        <w:t>d shall be deemed a waiver and relinquishment of the claim against the District. If such notice be given within the specified time, the procedure for its consideration shall be as stated above in this Section.</w:t>
      </w:r>
      <w:bookmarkEnd w:id="118"/>
    </w:p>
    <w:p w:rsidR="00E4078C" w:rsidRDefault="009760CB">
      <w:pPr>
        <w:pStyle w:val="Heading3"/>
      </w:pPr>
      <w:r>
        <w:t>All costs associated with the Extra Work/Modif</w:t>
      </w:r>
      <w:r>
        <w:t>ication may be in terms of time, money or both.</w:t>
      </w:r>
    </w:p>
    <w:p w:rsidR="00E4078C" w:rsidRDefault="009760CB">
      <w:pPr>
        <w:pStyle w:val="Heading2"/>
      </w:pPr>
      <w:bookmarkStart w:id="119" w:name="_Ref472595144"/>
      <w:r>
        <w:t>Deductive Change Orders</w:t>
      </w:r>
      <w:bookmarkEnd w:id="119"/>
    </w:p>
    <w:p w:rsidR="00E4078C" w:rsidRDefault="009760CB">
      <w:pPr>
        <w:pStyle w:val="Heading3"/>
      </w:pPr>
      <w:r>
        <w:t>All Deductive Change Order(s) must be prepared utilizing the form under Paragraph 17.</w:t>
      </w:r>
      <w:r>
        <w:t xml:space="preserve">5 </w:t>
      </w:r>
      <w:r>
        <w:t xml:space="preserve">(a)-(d) only </w:t>
      </w:r>
      <w:r>
        <w:t xml:space="preserve">setting forth the actual costs incurred. Except in the case of an Article </w:t>
      </w:r>
      <w:r>
        <w:t>12.2</w:t>
      </w:r>
      <w:r>
        <w:t xml:space="preserve"> or </w:t>
      </w:r>
      <w:r>
        <w:t>29</w:t>
      </w:r>
      <w:r>
        <w:t>.4</w:t>
      </w:r>
      <w:r>
        <w:t xml:space="preserve"> Deductive Change Order where no mark-up shall be allowed, Contractor will be allowed a maximum of 5% total profit and overhead.  </w:t>
      </w:r>
    </w:p>
    <w:p w:rsidR="00E4078C" w:rsidRDefault="009760CB">
      <w:pPr>
        <w:pStyle w:val="Heading3"/>
      </w:pPr>
      <w:r>
        <w:t>For Unilateral Deductive Change Orders, or where credits are due from Contractor for Allowances, Deductive Items, Inspectio</w:t>
      </w:r>
      <w:r>
        <w:t xml:space="preserve">n, Damage, DSA CCD review costs, Architect or Inspector costs for after hours or corrective services, Work removed from the Agreement under Article </w:t>
      </w:r>
      <w:r>
        <w:t>12.2</w:t>
      </w:r>
      <w:r>
        <w:t xml:space="preserve"> or Article </w:t>
      </w:r>
      <w:r>
        <w:t>29.4</w:t>
      </w:r>
      <w:r>
        <w:t>, there shall be no mark-up.</w:t>
      </w:r>
    </w:p>
    <w:p w:rsidR="00E4078C" w:rsidRDefault="009760CB">
      <w:pPr>
        <w:pStyle w:val="Heading3"/>
      </w:pPr>
      <w:r>
        <w:t>District may, at any time, after a Deductive Change Order i</w:t>
      </w:r>
      <w:r>
        <w:t xml:space="preserve">s presented to Contractor by District for items under Article </w:t>
      </w:r>
      <w:r>
        <w:t>12.2</w:t>
      </w:r>
      <w:r>
        <w:t xml:space="preserve"> or Article </w:t>
      </w:r>
      <w:r>
        <w:t>29.4</w:t>
      </w:r>
      <w:r>
        <w:t xml:space="preserve"> of if there is disagreement as to the Deductive Change Order, issue a unilateral Deductive Change Order on the Project and deduct the Deductive Change Order from a </w:t>
      </w:r>
      <w:r>
        <w:t xml:space="preserve">Progress </w:t>
      </w:r>
      <w:r>
        <w:t xml:space="preserve">Payment or the </w:t>
      </w:r>
      <w:r>
        <w:t>Retention Payment</w:t>
      </w:r>
      <w:r>
        <w:t>.</w:t>
      </w:r>
    </w:p>
    <w:p w:rsidR="00E4078C" w:rsidRDefault="009760CB">
      <w:pPr>
        <w:pStyle w:val="Heading1"/>
      </w:pPr>
      <w:bookmarkStart w:id="120" w:name="_Toc256000020"/>
      <w:bookmarkStart w:id="121" w:name="_Toc365549831"/>
      <w:bookmarkStart w:id="122" w:name="_Toc472525899"/>
      <w:bookmarkStart w:id="123" w:name="_Ref472595272"/>
      <w:bookmarkStart w:id="124" w:name="_Ref472595978"/>
      <w:r>
        <w:t>TIME OF COMPLETION</w:t>
      </w:r>
      <w:bookmarkEnd w:id="120"/>
      <w:bookmarkEnd w:id="121"/>
      <w:bookmarkEnd w:id="122"/>
      <w:bookmarkEnd w:id="123"/>
      <w:bookmarkEnd w:id="124"/>
    </w:p>
    <w:p w:rsidR="00E4078C" w:rsidRPr="00EA6423" w:rsidRDefault="009760CB" w:rsidP="001B6C38">
      <w:pPr>
        <w:pStyle w:val="Heading2"/>
      </w:pPr>
      <w:r w:rsidRPr="001B6C38">
        <w:t>ONCE THE DISTRICT HAS ISSUED A NOTICE TO PROCEED, CONTRACTOR SHALL PROCEED WITH THE CONSTRUCTION OF THE PROJECT WITH REASONABLE DILIGENCE.  CONTRACTOR AGREES THAT THE PROJECT WILL BE SUBSTANTIALLY COMPLE</w:t>
      </w:r>
      <w:r w:rsidRPr="001B6C38">
        <w:t>TE WITHIN THE CALENDAR DAYS DESIGNATED IN ARTICL</w:t>
      </w:r>
      <w:r>
        <w:t>E 3</w:t>
      </w:r>
      <w:r w:rsidRPr="001B6C38">
        <w:t xml:space="preserve"> FROM THE NOTICE TO PROCEED.  SAID CONTRACT TIME MAY BE EXTENDED FOR SUCH PERIODS OF TIME AS ALLOWED UNDER THE CONTRACT DOCUMENTS.  IF THE PROJECT IS NOT SUBSTANTIALLY COMPLETED IN ACCORDANCE WITH THE FORE</w:t>
      </w:r>
      <w:r w:rsidRPr="001B6C38">
        <w:t>GOING, IT IS UNDERSTOOD THAT THE DISTRICT WILL SUFFER DAMAGE SINCE CONTRACTOR HAS OVERSTAYED ITS LEASE TERM.  IT BEING IMPRACTICAL AND INFEASIBLE TO DETERMINE THE AMOUNT OF ACTUAL DAMAGE, IT IS AGREED THAT CONTRACTOR’S EXTENSION OF THE LEASE SHALL RESULT I</w:t>
      </w:r>
      <w:r w:rsidRPr="001B6C38">
        <w:t xml:space="preserve">N LIQUIDATED DAMAGES, AND NOT AS A PENALTY, THE SUM SET FORTH IN </w:t>
      </w:r>
      <w:r>
        <w:t>ARTICLE 3</w:t>
      </w:r>
      <w:r w:rsidRPr="001B6C38">
        <w:t xml:space="preserve"> FOR EACH CALENDAR DAY OF DELAY UNTIL WORK IS SUBSTANTIALLY COMPLETED.  CONTRACTOR AND ITS SURETY SHALL BE LIABLE FOR THE AMOUNT THEREOF.  ANY </w:t>
      </w:r>
      <w:r>
        <w:t>MONEY DUE OR TO BECOME DUE THE CONTRACT</w:t>
      </w:r>
      <w:r>
        <w:t xml:space="preserve">OR </w:t>
      </w:r>
      <w:r w:rsidRPr="001B6C38">
        <w:t xml:space="preserve">MAY BE RETAINED BY THE DISTRICT TO COVER SAID LIQUIDATED DAMAGES FOR </w:t>
      </w:r>
      <w:r w:rsidRPr="001B6C38">
        <w:lastRenderedPageBreak/>
        <w:t>OVERSTAYING THE LEASE.  SHOULD SUCH MONEY NOT BE SUFFICIENT TO COVER SAID LIQUIDATED DAMAGES, THE DISTRICT SHALL HAVE THE RIGHT TO RECOVER THE BALANCE FROM THE CONTRACTOR OR ITS SURETI</w:t>
      </w:r>
      <w:r w:rsidRPr="001B6C38">
        <w:t>ES, WHO WILL PAY SAID BALANCE FORTHWITH</w:t>
      </w:r>
      <w:r w:rsidRPr="00EA6423">
        <w:t xml:space="preserve">. </w:t>
      </w:r>
    </w:p>
    <w:p w:rsidR="00E4078C" w:rsidRDefault="009760CB">
      <w:pPr>
        <w:pStyle w:val="Heading2"/>
      </w:pPr>
      <w:r>
        <w:t xml:space="preserve">Within five (5) business days after the Project commencement date in the District’s Notice to Proceed, Contractor shall furnish District with a Baseline CPM (Critical Path) </w:t>
      </w:r>
      <w:r>
        <w:t xml:space="preserve">Schedule pursuant to Article </w:t>
      </w:r>
      <w:r>
        <w:t>9</w:t>
      </w:r>
      <w:r>
        <w:t>.</w:t>
      </w:r>
      <w:r>
        <w:t xml:space="preserve"> </w:t>
      </w:r>
      <w:r>
        <w:t xml:space="preserve"> </w:t>
      </w:r>
      <w:r>
        <w:t xml:space="preserve">The Contractor shall include the District’s occupancy requirements showing portions of the Projects having occupancy priority.  </w:t>
      </w:r>
    </w:p>
    <w:p w:rsidR="00E4078C" w:rsidRDefault="009760CB">
      <w:pPr>
        <w:pStyle w:val="Heading2"/>
      </w:pPr>
      <w:r>
        <w:t xml:space="preserve">Contractor shall not be charged for liquidated damages, as set forth in the Agreement, for materially differing </w:t>
      </w:r>
      <w:r>
        <w:t xml:space="preserve">underground </w:t>
      </w:r>
      <w:r>
        <w:t>soi</w:t>
      </w:r>
      <w:r>
        <w:t xml:space="preserve">l conditions than those outlined in the soils report and from hazardous substances that are encountered that are not documented in the Contract Documents or in the Due Diligence Documents provided to Contractor. </w:t>
      </w:r>
    </w:p>
    <w:p w:rsidR="00E4078C" w:rsidRDefault="009760CB">
      <w:pPr>
        <w:pStyle w:val="Heading3"/>
      </w:pPr>
      <w:r>
        <w:t xml:space="preserve">In case of encountering </w:t>
      </w:r>
      <w:r>
        <w:t>such</w:t>
      </w:r>
      <w:r>
        <w:t xml:space="preserve"> unforeseen con</w:t>
      </w:r>
      <w:r>
        <w:t>ditions</w:t>
      </w:r>
      <w:r>
        <w:t xml:space="preserve"> noted above</w:t>
      </w:r>
      <w:r>
        <w:t xml:space="preserve">, Contractor shall notify the District in writing immediately and no later than </w:t>
      </w:r>
      <w:r>
        <w:t xml:space="preserve">seven </w:t>
      </w:r>
      <w:r>
        <w:t>(</w:t>
      </w:r>
      <w:r>
        <w:t>7</w:t>
      </w:r>
      <w:r>
        <w:t>) days following encountering the unforeseen condition.  After providing written notice, Contractor shall test and provide District with Test results</w:t>
      </w:r>
      <w:r>
        <w:t xml:space="preserve"> (unless District choses to test) and shall proceed with Work based on the Test results.  A Change Order pursuant to Article </w:t>
      </w:r>
      <w:r>
        <w:t>17</w:t>
      </w:r>
      <w:r>
        <w:t xml:space="preserve"> shall be submitted.  All time and expenses shall be verified with the Inspector or District Designee either on the day the extra</w:t>
      </w:r>
      <w:r>
        <w:t xml:space="preserve"> work occurs, but no later than 10 am the following business day.  </w:t>
      </w:r>
    </w:p>
    <w:p w:rsidR="00E4078C" w:rsidRDefault="009760CB" w:rsidP="00F9428A">
      <w:pPr>
        <w:pStyle w:val="Heading3"/>
      </w:pPr>
      <w:r w:rsidRPr="00F9428A">
        <w:t xml:space="preserve">Change Orders associated with approved unforeseen conditions shall be billed as Change Order Work and allocated to the </w:t>
      </w:r>
      <w:r>
        <w:t>Unforeseen</w:t>
      </w:r>
      <w:r w:rsidRPr="00F9428A">
        <w:t xml:space="preserve"> Allowance, and if the </w:t>
      </w:r>
      <w:r>
        <w:t>Unforeseen</w:t>
      </w:r>
      <w:r w:rsidRPr="00F9428A">
        <w:t xml:space="preserve"> Allowance is exceeded, th</w:t>
      </w:r>
      <w:r w:rsidRPr="00F9428A">
        <w:t>e District, in its sole and absolute discretion, may allocate such costs to the District Contingency to the extent unforeseen conditions as defined in this Article are encountered</w:t>
      </w:r>
      <w:r>
        <w:t>.</w:t>
      </w:r>
    </w:p>
    <w:p w:rsidR="00E4078C" w:rsidRDefault="009760CB">
      <w:pPr>
        <w:pStyle w:val="Heading2"/>
      </w:pPr>
      <w:bookmarkStart w:id="125" w:name="_Ref472588502"/>
      <w:r>
        <w:t>Contractor shall within ten (10) calendar days of beginning of any such del</w:t>
      </w:r>
      <w:r>
        <w:t xml:space="preserve">ay notify District in writing of causes of delay.  Thereupon District shall ascertain the facts and extent of delay and grant extension of time for completing work when, in its judgment, the findings of fact justify such an extension.  District’s findings </w:t>
      </w:r>
      <w:r>
        <w:t xml:space="preserve">of fact thereon shall be final and conclusive on the parties hereto.  Extension of time shall apply only to that portion of work affected by the delay, and shall not apply to other portions of work not so affected.  Contractor agrees that the extension of </w:t>
      </w:r>
      <w:r>
        <w:t>time granted under this Article shall be its sole and exclusive remedy for the consequences of any delay described above.  For any such delay resulting from the actions or inactions of Architect, District, or their officers, agents, and employees, or chang</w:t>
      </w:r>
      <w:r>
        <w:t>es to the scope of the Work which impact the schedule, Contractor shall be entitled to reimbursement for its reasonable additional costs resulting from such delay, but not any additional profit or fee.</w:t>
      </w:r>
      <w:bookmarkEnd w:id="125"/>
      <w:r>
        <w:t xml:space="preserve"> </w:t>
      </w:r>
    </w:p>
    <w:p w:rsidR="00E4078C" w:rsidRDefault="009760CB">
      <w:pPr>
        <w:pStyle w:val="Heading2"/>
      </w:pPr>
      <w:r>
        <w:t>Contractor acknowledges the extreme importance of pro</w:t>
      </w:r>
      <w:r>
        <w:t>mptly notifying and thoroughly documenting any request for time extension and further specifically acknowledges that District will suffer extreme prejudice should Contractor fail in any way to comply with this requirement.  Failure to comply with the proce</w:t>
      </w:r>
      <w:r>
        <w:t>dures and time limits established in this Article shall constitute a waiver of such request.  Evidence presented by Contractor that District had actual notice of the time extension request, that District was not prejudiced by Contractor’s failure to comply</w:t>
      </w:r>
      <w:r>
        <w:t xml:space="preserve"> with this requirement, and/or that District considered Contractor’s request despite Contractor’s failure to strictly comply with this provision shall not render this requirement unenforceable.</w:t>
      </w:r>
    </w:p>
    <w:p w:rsidR="00E4078C" w:rsidRDefault="009760CB">
      <w:pPr>
        <w:pStyle w:val="Heading2"/>
      </w:pPr>
      <w:r>
        <w:t>Contractor is required to order, obtain, and store materials a</w:t>
      </w:r>
      <w:r>
        <w:t>nd equipment sufficiently in advance of its work at no additional cost or advance payment from District to assure that there will be no delays.  An extension of time will not be granted for a delay caused by a shortage of materials.</w:t>
      </w:r>
    </w:p>
    <w:p w:rsidR="00E4078C" w:rsidRDefault="009760CB">
      <w:pPr>
        <w:pStyle w:val="Heading2"/>
      </w:pPr>
      <w:r>
        <w:lastRenderedPageBreak/>
        <w:t>Contractor shall not be entitled to additional compensation for delays within its control.  Contractor is aware that governmental agencies, such as the Department of General Services, gas companies, electrical utility companies, water districts and other a</w:t>
      </w:r>
      <w:r>
        <w:t xml:space="preserve">gencies may have to approve Contractor-prepared drawings or approve a proposed installation.  In the event of delays to the Project from such agencies for which Contractor has no control, provided such delays are not caused by Contractor’s or any </w:t>
      </w:r>
      <w:r>
        <w:t>Subcontra</w:t>
      </w:r>
      <w:r>
        <w:t>ctor</w:t>
      </w:r>
      <w:r>
        <w:t>’s acts or omissions, Contractor may be entitled to a time extension for such delays, but shall not be allowed additional compensation for the costs of such delays</w:t>
      </w:r>
      <w:r>
        <w:t xml:space="preserve"> not impacting the Project’s critical path</w:t>
      </w:r>
      <w:r>
        <w:t>.</w:t>
      </w:r>
    </w:p>
    <w:p w:rsidR="00E4078C" w:rsidRDefault="009760CB">
      <w:pPr>
        <w:pStyle w:val="Heading2"/>
      </w:pPr>
      <w:r>
        <w:t>District reserves the right to occupy any bui</w:t>
      </w:r>
      <w:r>
        <w:t xml:space="preserve">lding or portion thereof or use any improvement contemplated by the Contract Documents prior to the completion of the entire Project.  A list of work to be completed and corrected by Contractor, if any, shall be prepared and agreed to between District and </w:t>
      </w:r>
      <w:r>
        <w:t>Contractor before any such occupancy or use.  Such occupancy or use shall not operate as an acceptance of any part of the Project but shall start the guaranty-warranty period on the structure or portion thereof so occupied or improvement or equipment so us</w:t>
      </w:r>
      <w:r>
        <w:t>ed; provided, however, that such occupancy or use shall not start the guaranty-warranty period as to items appearing on the list of work yet to be completed and corrected or as to structures or improvements (or portions thereof) that are not occupied or us</w:t>
      </w:r>
      <w:r>
        <w:t>ed.  No such occupancy or use shall be deemed to have occurred unless and until District has given Contractor written notice of its intention to so occupy or use any particular structure or improvement specifying the portion or portions of the structure, i</w:t>
      </w:r>
      <w:r>
        <w:t>mprovement or equipment which will be deemed so occupied or used.  District and Contractor shall take reasonable steps to obtain the consent of Contractor’s insurance company or companies and shall, without mutual written consent, take no action with respe</w:t>
      </w:r>
      <w:r>
        <w:t>ct to partial occupancy or use that would cause cancellation, lapse of or reduction of such insurance.  Such occupancy or use by District shall relieve Contractor of (and District shall assume) the responsibility for injury or damage to said occupied or us</w:t>
      </w:r>
      <w:r>
        <w:t xml:space="preserve">ed portions of the Project resulting from use by District or the public or from the action of the elements or from any other cause, except injury or damage resulting from the operations, negligence or intentional acts of Contractor, any </w:t>
      </w:r>
      <w:r>
        <w:t>Subcontractor</w:t>
      </w:r>
      <w:r>
        <w:t>s or m</w:t>
      </w:r>
      <w:r>
        <w:t>aterialmen of any tier, or their officers, employees or agents.</w:t>
      </w:r>
    </w:p>
    <w:p w:rsidR="00E4078C" w:rsidRDefault="009760CB">
      <w:pPr>
        <w:pStyle w:val="Heading1"/>
      </w:pPr>
      <w:bookmarkStart w:id="126" w:name="_Toc256000021"/>
      <w:bookmarkStart w:id="127" w:name="_Toc365549832"/>
      <w:bookmarkStart w:id="128" w:name="_Toc472525900"/>
      <w:bookmarkStart w:id="129" w:name="_Ref472589230"/>
      <w:bookmarkStart w:id="130" w:name="_Ref472595009"/>
      <w:bookmarkStart w:id="131" w:name="_Ref472595106"/>
      <w:bookmarkStart w:id="132" w:name="_Ref472595568"/>
      <w:bookmarkStart w:id="133" w:name="_Ref472595708"/>
      <w:bookmarkStart w:id="134" w:name="_Ref472597080"/>
      <w:r>
        <w:t>TERMINATION OF AGREEMENT</w:t>
      </w:r>
      <w:bookmarkEnd w:id="126"/>
      <w:bookmarkEnd w:id="127"/>
      <w:bookmarkEnd w:id="128"/>
      <w:bookmarkEnd w:id="129"/>
      <w:bookmarkEnd w:id="130"/>
      <w:bookmarkEnd w:id="131"/>
      <w:bookmarkEnd w:id="132"/>
      <w:bookmarkEnd w:id="133"/>
      <w:bookmarkEnd w:id="134"/>
    </w:p>
    <w:p w:rsidR="00E4078C" w:rsidRDefault="009760CB">
      <w:pPr>
        <w:pStyle w:val="Heading2"/>
        <w:rPr>
          <w:u w:val="single"/>
        </w:rPr>
      </w:pPr>
      <w:r>
        <w:rPr>
          <w:u w:val="single"/>
        </w:rPr>
        <w:t>Termination for Breach.</w:t>
      </w:r>
    </w:p>
    <w:p w:rsidR="00E4078C" w:rsidRDefault="009760CB">
      <w:pPr>
        <w:pStyle w:val="Heading3"/>
      </w:pPr>
      <w:r>
        <w:t>If the Contractor refuses or fails to proceed with the construction of the Project or any separable part thereof with such diligence as will in</w:t>
      </w:r>
      <w:r>
        <w:t xml:space="preserve">sure its completion within the time specified by this Construction Services Agreement or any </w:t>
      </w:r>
      <w:r>
        <w:t>extension thereof, or fails to C</w:t>
      </w:r>
      <w:r>
        <w:t xml:space="preserve">omplete the Project within </w:t>
      </w:r>
      <w:r>
        <w:t>the Contract T</w:t>
      </w:r>
      <w:r>
        <w:t>ime, or if the Contractor should be adjudged bankrupt, or if it should make a general assi</w:t>
      </w:r>
      <w:r>
        <w:t xml:space="preserve">gnment for the benefit of its creditors, or if a receiver should be appointed on account of its insolvency, or the Contractor or any of its </w:t>
      </w:r>
      <w:r>
        <w:t>Subcontractor</w:t>
      </w:r>
      <w:r>
        <w:t xml:space="preserve">s should violate any of the provisions of this Construction Services Agreement, the District may serve </w:t>
      </w:r>
      <w:r>
        <w:t>written notice upon the Contractor and its Surety of the District’s intention to terminate this Construction Services Agreement.  This notice of intent to terminate shall contain the reasons for such intention to terminate this Construction Services Agreem</w:t>
      </w:r>
      <w:r>
        <w:t>ent and a statement to that effect that the Contractor’s right to perform work on the Project shall cease and terminate upon the expiration of ten (10) days unless such violations have ceased and arrangements satisfactory to the District have been made for</w:t>
      </w:r>
      <w:r>
        <w:t xml:space="preserve"> correction of said violations.</w:t>
      </w:r>
    </w:p>
    <w:p w:rsidR="00E4078C" w:rsidRDefault="009760CB">
      <w:pPr>
        <w:pStyle w:val="Heading3"/>
      </w:pPr>
      <w:r>
        <w:t xml:space="preserve">In the event that the District serves such written notice of termination upon the Contractor and the Surety, the Surety shall have the right to take over and perform this Construction Services Agreement.  If the Surety does </w:t>
      </w:r>
      <w:r>
        <w:t>not: (1) give the District written notice of Surety’s intention to take over and commence performance of this Construction Services Agreement within</w:t>
      </w:r>
      <w:r>
        <w:t xml:space="preserve"> fifteen</w:t>
      </w:r>
      <w:r>
        <w:t xml:space="preserve"> (15) days of the District’s service of </w:t>
      </w:r>
      <w:r>
        <w:lastRenderedPageBreak/>
        <w:t>said notice of intent to terminate upon Surety; and (2) actu</w:t>
      </w:r>
      <w:r>
        <w:t xml:space="preserve">ally commence performance of this Construction Services Agreement within thirty (30) days of the District’s service of said notice upon Surety;  then the District may take over the Project and prosecute the same to completion by </w:t>
      </w:r>
      <w:r>
        <w:t>separate c</w:t>
      </w:r>
      <w:r>
        <w:t>ontract</w:t>
      </w:r>
      <w:r>
        <w:t>(s)</w:t>
      </w:r>
      <w:r>
        <w:t xml:space="preserve"> or by </w:t>
      </w:r>
      <w:r>
        <w:t>any other method it may deem advisable for the account and at the expense of the Contractor.</w:t>
      </w:r>
    </w:p>
    <w:p w:rsidR="00E4078C" w:rsidRDefault="009760CB">
      <w:pPr>
        <w:pStyle w:val="Heading3"/>
      </w:pPr>
      <w:r>
        <w:t>In the event that the District elects to obtain an alternative performance of the Construction Services Agreement as specified above: (1) the District may, without</w:t>
      </w:r>
      <w:r>
        <w:t xml:space="preserve"> liability for so doing, take possession of and utilize in completion of the Project such materials, appliances, plants and other property belonging to the Contractor that are on the site and reasonably necessary for such completion; and (2) Surety shall b</w:t>
      </w:r>
      <w:r>
        <w:t>e liable to the District for any cost or other damage to the District necessitated by the District securing an alternate performance pursuant to this Article.</w:t>
      </w:r>
    </w:p>
    <w:p w:rsidR="00E4078C" w:rsidRDefault="009760CB">
      <w:pPr>
        <w:pStyle w:val="Heading2"/>
        <w:rPr>
          <w:u w:val="single"/>
        </w:rPr>
      </w:pPr>
      <w:r>
        <w:rPr>
          <w:u w:val="single"/>
        </w:rPr>
        <w:t>Termination for Convenience.</w:t>
      </w:r>
    </w:p>
    <w:p w:rsidR="00E4078C" w:rsidRDefault="009760CB">
      <w:pPr>
        <w:pStyle w:val="Heading3"/>
      </w:pPr>
      <w:r>
        <w:t xml:space="preserve">The District may terminate performance of the Project called for by </w:t>
      </w:r>
      <w:r>
        <w:t>the Contract Documents in whole or, from time to time, in part, if the District determines that a termination is in the District’s interest.</w:t>
      </w:r>
    </w:p>
    <w:p w:rsidR="00E4078C" w:rsidRDefault="009760CB">
      <w:pPr>
        <w:pStyle w:val="Heading3"/>
      </w:pPr>
      <w:r>
        <w:t>The District shall terminate all or any part of the Project upon delivery to the Contractor of a “Notice of Termina</w:t>
      </w:r>
      <w:r>
        <w:t>tion” specifying that the termination is for the convenience of the District, the extent of termination, and the effective date of such termination.</w:t>
      </w:r>
    </w:p>
    <w:p w:rsidR="00E4078C" w:rsidRDefault="009760CB">
      <w:pPr>
        <w:pStyle w:val="Heading3"/>
      </w:pPr>
      <w:r>
        <w:t>After receipt of Notice of Termination, and except as directed by the District’s Representative, the Contra</w:t>
      </w:r>
      <w:r>
        <w:t>ctor shall, regardless of any delay in determining or adjusting any amounts due under this Termination for Convenience clause, immediately proceed with the following obligations:</w:t>
      </w:r>
    </w:p>
    <w:p w:rsidR="00E4078C" w:rsidRDefault="009760CB">
      <w:pPr>
        <w:pStyle w:val="ListNumberIndent"/>
        <w:numPr>
          <w:ilvl w:val="0"/>
          <w:numId w:val="27"/>
        </w:numPr>
        <w:ind w:left="3060" w:hanging="630"/>
      </w:pPr>
      <w:r>
        <w:t>Stop Work as specified in the Notice of Termination.</w:t>
      </w:r>
    </w:p>
    <w:p w:rsidR="00E4078C" w:rsidRDefault="009760CB">
      <w:pPr>
        <w:pStyle w:val="ListNumberIndent"/>
        <w:ind w:hanging="630"/>
      </w:pPr>
      <w:r>
        <w:t xml:space="preserve">Complete any work </w:t>
      </w:r>
      <w:r>
        <w:t>specified in the Notice of Termination in a least cost/shortest time manner while still maintaining the quality called for under the Contract Documents.</w:t>
      </w:r>
    </w:p>
    <w:p w:rsidR="00E4078C" w:rsidRDefault="009760CB">
      <w:pPr>
        <w:pStyle w:val="ListNumberIndent"/>
        <w:ind w:hanging="630"/>
      </w:pPr>
      <w:r>
        <w:t>Leave the Property upon which the Contractor was working and upon which the facility (or facilities) fo</w:t>
      </w:r>
      <w:r>
        <w:t>rming the basis of the Contract Documents is situated in a safe and sanitary manner such that it does not pose any threat to the public health or safety.</w:t>
      </w:r>
    </w:p>
    <w:p w:rsidR="00E4078C" w:rsidRDefault="009760CB">
      <w:pPr>
        <w:pStyle w:val="ListNumberIndent"/>
        <w:ind w:hanging="630"/>
      </w:pPr>
      <w:r>
        <w:t>Terminate all subcontracts to the extent that they relate to the portions of the work terminated.</w:t>
      </w:r>
    </w:p>
    <w:p w:rsidR="00E4078C" w:rsidRDefault="009760CB">
      <w:pPr>
        <w:pStyle w:val="ListNumberIndent"/>
        <w:ind w:hanging="630"/>
      </w:pPr>
      <w:r>
        <w:t>Plac</w:t>
      </w:r>
      <w:r>
        <w:t>e no further subcontracts or orders, except as necessary to complete the continued portion of the Construction Services Agreement.</w:t>
      </w:r>
    </w:p>
    <w:p w:rsidR="00E4078C" w:rsidRDefault="009760CB">
      <w:pPr>
        <w:pStyle w:val="ListNumberIndent"/>
        <w:ind w:hanging="630"/>
      </w:pPr>
      <w:r>
        <w:t>Submit to the District’s Representative, within ten (10) days from the Project termination date found in the Notice of Termin</w:t>
      </w:r>
      <w:r>
        <w:t>ation, all of the usual documentation called for by the Contract Documents to substantiate all costs incurred by the Contractor for labor, materials and equipment through the Project termination date, including termination costs related to demobilizing and</w:t>
      </w:r>
      <w:r>
        <w:t xml:space="preserve"> closing out the </w:t>
      </w:r>
      <w:r>
        <w:t>Project</w:t>
      </w:r>
      <w:r>
        <w:t>, found in the Notice of Termination.  Any documentation substantiating costs incurred by the Contractor solely as a result of the District’s exercise of its right to terminate this Construction Services Agreement pursuant to this c</w:t>
      </w:r>
      <w:r>
        <w:t xml:space="preserve">lause, which costs the Contractor is </w:t>
      </w:r>
      <w:r>
        <w:lastRenderedPageBreak/>
        <w:t>authorized under the Construction Services Agreement to incur, shall: (i) be submitted to and received by the District no later than thirty (30) days after the Project termination date found in the Notice of Termination</w:t>
      </w:r>
      <w:r>
        <w:t>; (ii)  describe the costs incurred with particularity; and (iii) be conspicuously identified as “Termination Costs occasioned by the District’s Termination for Convenience.”</w:t>
      </w:r>
    </w:p>
    <w:p w:rsidR="00E4078C" w:rsidRDefault="009760CB">
      <w:pPr>
        <w:pStyle w:val="Heading3"/>
      </w:pPr>
      <w:r>
        <w:t>Termination of the Construction Services Agreement shall not relieve the Surety o</w:t>
      </w:r>
      <w:r>
        <w:t>f its obligation for any just claims arising out of or relating to the work performed on the Project.</w:t>
      </w:r>
    </w:p>
    <w:p w:rsidR="00E4078C" w:rsidRDefault="009760CB">
      <w:pPr>
        <w:pStyle w:val="Heading3"/>
      </w:pPr>
      <w:r>
        <w:t>In the event that the District exercises its right to terminate this Construction Services Agreement pursuant to this clause, the District shall pay the C</w:t>
      </w:r>
      <w:r>
        <w:t>ontractor, upon the Contractor’s submission of the documentation required by this provision, and other applicable provisions of the Construction Services Agreement the following amounts</w:t>
      </w:r>
      <w:r>
        <w:t xml:space="preserve"> not already paid </w:t>
      </w:r>
      <w:r>
        <w:t>to Contractor</w:t>
      </w:r>
      <w:r>
        <w:t>:</w:t>
      </w:r>
    </w:p>
    <w:p w:rsidR="00E4078C" w:rsidRDefault="009760CB">
      <w:pPr>
        <w:pStyle w:val="ListNumberIndent"/>
        <w:numPr>
          <w:ilvl w:val="0"/>
          <w:numId w:val="17"/>
        </w:numPr>
        <w:ind w:left="3060" w:hanging="630"/>
      </w:pPr>
      <w:r>
        <w:t>All actual costs incurred according to</w:t>
      </w:r>
      <w:r>
        <w:t xml:space="preserve"> the provisions of this Construction Services Agreement including but not limited to insurance costs incurred in connection with the Project.</w:t>
      </w:r>
    </w:p>
    <w:p w:rsidR="00E4078C" w:rsidRDefault="009760CB">
      <w:pPr>
        <w:pStyle w:val="ListNumberIndent"/>
        <w:numPr>
          <w:ilvl w:val="0"/>
          <w:numId w:val="17"/>
        </w:numPr>
        <w:ind w:left="3060" w:hanging="630"/>
      </w:pPr>
      <w:r>
        <w:t>A reasonable allowance for profit on the cost of the work on the Project performed</w:t>
      </w:r>
      <w:r>
        <w:t xml:space="preserve"> and not otherwise paid for the </w:t>
      </w:r>
      <w:r>
        <w:t>District</w:t>
      </w:r>
      <w:r>
        <w:t xml:space="preserve">, provided Contractor establishes to the satisfaction of the District, that it is reasonably probable that the Contractor would have made a profit had the Construction Services Agreement been completed and provided further, that the profit allowed </w:t>
      </w:r>
      <w:r>
        <w:t>shall in no event exceed five percent (5%) of costs.  In no event shall the total amount exceed GMP.</w:t>
      </w:r>
    </w:p>
    <w:p w:rsidR="00E4078C" w:rsidRDefault="009760CB">
      <w:pPr>
        <w:pStyle w:val="ListNumberIndent"/>
        <w:numPr>
          <w:ilvl w:val="0"/>
          <w:numId w:val="17"/>
        </w:numPr>
        <w:ind w:left="3060" w:hanging="630"/>
      </w:pPr>
      <w:r>
        <w:t>A reasonable allowance for Contractor’s administrative costs in determining the amount payable due to termination of the Construction Services Agreement un</w:t>
      </w:r>
      <w:r>
        <w:t>der this Article.</w:t>
      </w:r>
    </w:p>
    <w:p w:rsidR="00E4078C" w:rsidRDefault="009760CB" w:rsidP="00652DB0">
      <w:pPr>
        <w:pStyle w:val="Heading2"/>
      </w:pPr>
      <w:r>
        <w:rPr>
          <w:u w:val="single"/>
        </w:rPr>
        <w:t>Terminat</w:t>
      </w:r>
      <w:r>
        <w:rPr>
          <w:u w:val="single"/>
        </w:rPr>
        <w:t>ion of Agreement by Contractor.</w:t>
      </w:r>
      <w:r>
        <w:t xml:space="preserve"> </w:t>
      </w:r>
      <w:r>
        <w:t xml:space="preserve"> </w:t>
      </w:r>
      <w:r>
        <w:t>The Contractor may terminate the Construction Services Agreement upon ten (10) days written notice to the District, whenever: (1) there is a substantial failure of performance on the part of the Di</w:t>
      </w:r>
      <w:r>
        <w:t>strict; or (2) the District shall elect not to appropriate funds and/or not to make two (2) successive</w:t>
      </w:r>
      <w:r>
        <w:t xml:space="preserve"> Sublease Prepayments (if exercised by the District in its sole discretion)</w:t>
      </w:r>
      <w:r>
        <w:t xml:space="preserve"> following the receipt by District of a</w:t>
      </w:r>
      <w:r>
        <w:t xml:space="preserve"> </w:t>
      </w:r>
      <w:r>
        <w:t>request from the Contractor</w:t>
      </w:r>
      <w:r>
        <w:t xml:space="preserve"> in its capa</w:t>
      </w:r>
      <w:r>
        <w:t xml:space="preserve">city as Lessor for each such Sublease Prepayment pursuant to Article </w:t>
      </w:r>
      <w:r>
        <w:t>21</w:t>
      </w:r>
      <w:r>
        <w:t xml:space="preserve"> of the Sublease</w:t>
      </w:r>
      <w:r>
        <w:t xml:space="preserve">.  In the event of such termination, the Contractor shall have no claims against the District except for </w:t>
      </w:r>
      <w:r>
        <w:t xml:space="preserve">payment for the value of the </w:t>
      </w:r>
      <w:r>
        <w:t>work performed on the Project as of</w:t>
      </w:r>
      <w:r>
        <w:t xml:space="preserve"> the date of termination.</w:t>
      </w:r>
    </w:p>
    <w:p w:rsidR="00E4078C" w:rsidRDefault="009760CB">
      <w:pPr>
        <w:pStyle w:val="Heading2"/>
      </w:pPr>
      <w:r>
        <w:rPr>
          <w:u w:val="single"/>
        </w:rPr>
        <w:t>Assignment of Subcontractors and Suppliers.</w:t>
      </w:r>
      <w:r>
        <w:t xml:space="preserve">  If the Contract is Terminated, Contractor shall provide District copies of all subcontracts, purchase orders, addenda, </w:t>
      </w:r>
      <w:r>
        <w:t>invoices, payment records, and P</w:t>
      </w:r>
      <w:r>
        <w:t xml:space="preserve">roject files associated with each </w:t>
      </w:r>
      <w:r>
        <w:t>Subcontractor and Material Supplier.  The District shall have the option to assume any Subcontracts, contracts or purchase orders the District choses.  To the extent that vendors are not paid in full for the labor, materials, or services provided, Contract</w:t>
      </w:r>
      <w:r>
        <w:t xml:space="preserve">or shall provide an accounting statement showing the amounts paid and the amounts due to the </w:t>
      </w:r>
      <w:r>
        <w:t>Subcontractor</w:t>
      </w:r>
      <w:r>
        <w:t xml:space="preserve"> and a statement on the anticipated payment status associated with the Termination.</w:t>
      </w:r>
    </w:p>
    <w:p w:rsidR="00E4078C" w:rsidRDefault="009760CB">
      <w:pPr>
        <w:pStyle w:val="Heading2"/>
      </w:pPr>
      <w:r>
        <w:rPr>
          <w:u w:val="single"/>
        </w:rPr>
        <w:t>Continuation of Work During Disputes.</w:t>
      </w:r>
      <w:r>
        <w:t xml:space="preserve">  In the event of a dispute between the parties as to performance of the work or the interpretation of this contract, or payment dispute, the parties shall attempt to resolve the dispute.  Pending resolution of this dispute, Contractor agrees to continue t</w:t>
      </w:r>
      <w:r>
        <w:t>he work diligently to completion and shall neither rescind nor terminate the agreement.</w:t>
      </w:r>
    </w:p>
    <w:p w:rsidR="00E4078C" w:rsidRDefault="009760CB">
      <w:pPr>
        <w:pStyle w:val="Heading1"/>
      </w:pPr>
      <w:bookmarkStart w:id="135" w:name="_Toc256000022"/>
      <w:bookmarkStart w:id="136" w:name="_Toc365549833"/>
      <w:bookmarkStart w:id="137" w:name="_Toc472525901"/>
      <w:bookmarkStart w:id="138" w:name="_Ref472588012"/>
      <w:bookmarkStart w:id="139" w:name="_Ref472595632"/>
      <w:bookmarkStart w:id="140" w:name="_Ref472595637"/>
      <w:bookmarkStart w:id="141" w:name="_Ref472595944"/>
      <w:bookmarkStart w:id="142" w:name="_Ref472595998"/>
      <w:bookmarkStart w:id="143" w:name="_Ref472596074"/>
      <w:bookmarkStart w:id="144" w:name="_Ref472596164"/>
      <w:bookmarkStart w:id="145" w:name="_Ref472596191"/>
      <w:r>
        <w:lastRenderedPageBreak/>
        <w:t>RESOLUTION OF AGREEMENT CLAIMS</w:t>
      </w:r>
      <w:bookmarkEnd w:id="135"/>
      <w:bookmarkEnd w:id="136"/>
      <w:bookmarkEnd w:id="137"/>
      <w:bookmarkEnd w:id="138"/>
      <w:bookmarkEnd w:id="139"/>
      <w:bookmarkEnd w:id="140"/>
      <w:bookmarkEnd w:id="141"/>
      <w:bookmarkEnd w:id="142"/>
      <w:bookmarkEnd w:id="143"/>
      <w:bookmarkEnd w:id="144"/>
      <w:bookmarkEnd w:id="145"/>
      <w:r>
        <w:t xml:space="preserve"> </w:t>
      </w:r>
    </w:p>
    <w:p w:rsidR="00E4078C" w:rsidRDefault="009760CB" w:rsidP="00AF31BD">
      <w:pPr>
        <w:pStyle w:val="Heading2"/>
      </w:pPr>
      <w:bookmarkStart w:id="146" w:name="_Ref472596067"/>
      <w:r>
        <w:rPr>
          <w:u w:val="single"/>
        </w:rPr>
        <w:t>Decision of Architect.</w:t>
      </w:r>
      <w:r>
        <w:t xml:space="preserve">  </w:t>
      </w:r>
      <w:r>
        <w:t>“</w:t>
      </w:r>
      <w:r>
        <w:t>Disputes</w:t>
      </w:r>
      <w:r>
        <w:t>” or “Claims” as</w:t>
      </w:r>
      <w:r>
        <w:t xml:space="preserve"> defined in Article </w:t>
      </w:r>
      <w:r>
        <w:t>20.9.1.1</w:t>
      </w:r>
      <w:r>
        <w:t xml:space="preserve"> between District and Contractor involving money or time, i</w:t>
      </w:r>
      <w:r>
        <w:t>ncluding those alleging an error or omission by the Architect shall be referred initially to the Architect for action</w:t>
      </w:r>
      <w:r>
        <w:t xml:space="preserve"> as provided in Article </w:t>
      </w:r>
      <w:r>
        <w:t>20.2</w:t>
      </w:r>
      <w:r>
        <w:t xml:space="preserve"> within ten (10) days after Contractor’s Article 17 request for </w:t>
      </w:r>
      <w:r>
        <w:t xml:space="preserve">extra work/ modification </w:t>
      </w:r>
      <w:r>
        <w:t>is denied.  If there i</w:t>
      </w:r>
      <w:r>
        <w:t xml:space="preserve">s a CM, the CM shall receive the Dispute and may review and also assemble opinions and documents to assist the Architect.  </w:t>
      </w:r>
      <w:r w:rsidRPr="00AF31BD">
        <w:t xml:space="preserve">A decision by the Architect, as provided in Article </w:t>
      </w:r>
      <w:r>
        <w:t>20.5</w:t>
      </w:r>
      <w:r w:rsidRPr="00AF31BD">
        <w:t xml:space="preserve">, shall be required as a condition precedent to proceeding with remedies set </w:t>
      </w:r>
      <w:r w:rsidRPr="00AF31BD">
        <w:t xml:space="preserve">forth in Article </w:t>
      </w:r>
      <w:r>
        <w:t>20.9</w:t>
      </w:r>
      <w:r w:rsidRPr="00AF31BD">
        <w:t xml:space="preserve"> as to all such matters arising prior to the date Retention Payment Application is due, regardless of whether such matters relate to execution and progress of the Work, or the extent to which the Work has reached Final Completion</w:t>
      </w:r>
      <w:r>
        <w:t>.</w:t>
      </w:r>
      <w:bookmarkEnd w:id="146"/>
    </w:p>
    <w:p w:rsidR="00E4078C" w:rsidRDefault="009760CB">
      <w:pPr>
        <w:pStyle w:val="Heading2"/>
        <w:numPr>
          <w:ilvl w:val="0"/>
          <w:numId w:val="0"/>
        </w:numPr>
        <w:ind w:left="1440"/>
      </w:pPr>
      <w:r w:rsidRPr="00493BE8">
        <w:t xml:space="preserve">The condition precedent of an Architect decision shall be waived if: (1) the position of Architect is vacant; (2) the Architect has failed to take action required under Article </w:t>
      </w:r>
      <w:r>
        <w:t>20.5</w:t>
      </w:r>
      <w:r w:rsidRPr="00493BE8">
        <w:t xml:space="preserve"> within the time periods required therein; or (3) the Dispute or Claim rela</w:t>
      </w:r>
      <w:r w:rsidRPr="00493BE8">
        <w:t>tes to a stop notice claim not arising from any extra Change Order or Immediate Change Directive for which approval has not been provided</w:t>
      </w:r>
      <w:r>
        <w:t>.</w:t>
      </w:r>
    </w:p>
    <w:p w:rsidR="00E4078C" w:rsidRDefault="009760CB" w:rsidP="00493BE8">
      <w:pPr>
        <w:pStyle w:val="Heading2"/>
      </w:pPr>
      <w:bookmarkStart w:id="147" w:name="_Ref472595886"/>
      <w:r>
        <w:rPr>
          <w:u w:val="single"/>
        </w:rPr>
        <w:t>Architect’s Review.</w:t>
      </w:r>
      <w:r w:rsidRPr="008A557F">
        <w:t xml:space="preserve">  </w:t>
      </w:r>
      <w:r w:rsidRPr="00493BE8">
        <w:t>The Architect (and CM) will review the Dispute and take one or more of the following preliminary</w:t>
      </w:r>
      <w:r w:rsidRPr="00493BE8">
        <w:t xml:space="preserve"> actions upon receipt of a Dispute: (1) request additional supporting data from the claimant; (2) submit a schedule to the parties indicating when the Architect expects to take action; (3) reject the Dispute in whole or in part, stating reasons for rejecti</w:t>
      </w:r>
      <w:r w:rsidRPr="00493BE8">
        <w:t>on; (4) recommend approval of the Dispute; or (5) suggest a compromise.  The Architect may also, but is not obligated to, notify the Surety, if any, of the nature and amount of the Dispute</w:t>
      </w:r>
      <w:r>
        <w:t>.</w:t>
      </w:r>
      <w:r>
        <w:t>.</w:t>
      </w:r>
      <w:bookmarkEnd w:id="147"/>
    </w:p>
    <w:p w:rsidR="00E4078C" w:rsidRDefault="009760CB" w:rsidP="00493BE8">
      <w:pPr>
        <w:pStyle w:val="Heading3"/>
      </w:pPr>
      <w:r>
        <w:rPr>
          <w:i/>
        </w:rPr>
        <w:t>Architectural Immunity.</w:t>
      </w:r>
      <w:r>
        <w:t xml:space="preserve">  </w:t>
      </w:r>
      <w:r w:rsidRPr="00493BE8">
        <w:t xml:space="preserve">Architect review of Disputes and Claims </w:t>
      </w:r>
      <w:r w:rsidRPr="00493BE8">
        <w:t xml:space="preserve">shall be impartial and meant to resolve Disputes and Claims.  Pursuant to the case, </w:t>
      </w:r>
      <w:r w:rsidRPr="00493BE8">
        <w:rPr>
          <w:u w:val="single"/>
        </w:rPr>
        <w:t>Huber, Hunt &amp; Nichols, Inc. v. Moore</w:t>
      </w:r>
      <w:r w:rsidRPr="00493BE8">
        <w:t xml:space="preserve"> (1977) 67 Cal.App.3d 278, the Architect is provided a quasi-judicial immunity for interpreting and deciding Disputes and Claims between</w:t>
      </w:r>
      <w:r w:rsidRPr="00493BE8">
        <w:t xml:space="preserve"> the District and Contracto</w:t>
      </w:r>
      <w:r>
        <w:t>r</w:t>
      </w:r>
      <w:r>
        <w:t xml:space="preserve">.  </w:t>
      </w:r>
    </w:p>
    <w:p w:rsidR="00E4078C" w:rsidRDefault="009760CB">
      <w:pPr>
        <w:pStyle w:val="Heading2"/>
      </w:pPr>
      <w:r>
        <w:rPr>
          <w:u w:val="single"/>
        </w:rPr>
        <w:t>Documentation if Resolved.</w:t>
      </w:r>
      <w:r>
        <w:t xml:space="preserve">  If a Dispute has been resolved, the Architect (and/or CM) will prepare a Change Order or obtain appropriate documentation to document the terms for Board approval.</w:t>
      </w:r>
    </w:p>
    <w:p w:rsidR="00E4078C" w:rsidRDefault="009760CB" w:rsidP="009241DF">
      <w:pPr>
        <w:pStyle w:val="Heading2"/>
      </w:pPr>
      <w:r>
        <w:rPr>
          <w:u w:val="single"/>
        </w:rPr>
        <w:t>Actions if Not Resolved.</w:t>
      </w:r>
      <w:r w:rsidRPr="008A557F">
        <w:t xml:space="preserve">  </w:t>
      </w:r>
      <w:r>
        <w:t>If a D</w:t>
      </w:r>
      <w:r>
        <w:t xml:space="preserve">ispute has not been resolved and all documentation requested pursuant to </w:t>
      </w:r>
      <w:r>
        <w:t>Article</w:t>
      </w:r>
      <w:r>
        <w:t xml:space="preserve"> </w:t>
      </w:r>
      <w:r>
        <w:t>20.2</w:t>
      </w:r>
      <w:r>
        <w:t xml:space="preserve"> </w:t>
      </w:r>
      <w:r w:rsidRPr="009241DF">
        <w:t xml:space="preserve">has been provided, the Contractor shall, within ten (10) days after the Architect’s initial response, assemble all the documents involved in the Dispute including copies </w:t>
      </w:r>
      <w:r w:rsidRPr="009241DF">
        <w:t>of all back-up documentation of costs and the basis for the Dispute and take one or more of the following actions: (1) modify the initial Dispute; (2) notify the Architect that the initial Dispute stands; or (3) supplement with additional supporting data a</w:t>
      </w:r>
      <w:r w:rsidRPr="009241DF">
        <w:t>nd re-submit to the Architect under Article</w:t>
      </w:r>
      <w:r>
        <w:t xml:space="preserve"> </w:t>
      </w:r>
      <w:r>
        <w:t>20.2</w:t>
      </w:r>
      <w:r>
        <w:t>.</w:t>
      </w:r>
    </w:p>
    <w:p w:rsidR="00E4078C" w:rsidRDefault="009760CB" w:rsidP="009241DF">
      <w:pPr>
        <w:pStyle w:val="Heading2"/>
      </w:pPr>
      <w:bookmarkStart w:id="148" w:name="_Ref472595891"/>
      <w:r>
        <w:rPr>
          <w:u w:val="single"/>
        </w:rPr>
        <w:t>Architect’s Written Decision.</w:t>
      </w:r>
      <w:r w:rsidRPr="008A557F">
        <w:t xml:space="preserve">  </w:t>
      </w:r>
      <w:r w:rsidRPr="009241DF">
        <w:t>If a Dispute has not been resolved after consideration of the foregoing and of other evidence presented by the parties or requested by the Architect, the Architect (or Archite</w:t>
      </w:r>
      <w:r w:rsidRPr="009241DF">
        <w:t>ct through CM) shall provide a written decision twenty (20) days after compliance with Article</w:t>
      </w:r>
      <w:r>
        <w:t xml:space="preserve"> </w:t>
      </w:r>
      <w:r>
        <w:t>20.4</w:t>
      </w:r>
      <w:r>
        <w:t xml:space="preserve">.  </w:t>
      </w:r>
      <w:r w:rsidRPr="009241DF">
        <w:t>Upon expiration of such time period, the Architect (or Architect through CM) will render to the parties its written decision relative to the Dispute, incl</w:t>
      </w:r>
      <w:r w:rsidRPr="009241DF">
        <w:t>uding any change in the Contract Sum or Contract Time or both.  The Architect may also request reasonable additional time to complete Architect’s written decision</w:t>
      </w:r>
      <w:r>
        <w:t>.</w:t>
      </w:r>
      <w:bookmarkEnd w:id="148"/>
      <w:r>
        <w:t xml:space="preserve">   </w:t>
      </w:r>
    </w:p>
    <w:p w:rsidR="00E4078C" w:rsidRDefault="009760CB">
      <w:pPr>
        <w:pStyle w:val="Heading2"/>
        <w:numPr>
          <w:ilvl w:val="0"/>
          <w:numId w:val="0"/>
        </w:numPr>
        <w:ind w:left="1440"/>
      </w:pPr>
      <w:r w:rsidRPr="009241DF">
        <w:t>If the resolution of the Dispute by the Architect is not satisfactory to the Contractor a</w:t>
      </w:r>
      <w:r w:rsidRPr="009241DF">
        <w:t>nd copies of all back-up documentation of costs and the basis for the Dispute is fully articulated in a package of material that is complete, the Contractor may then submit a Claim to the District under Article</w:t>
      </w:r>
      <w:r>
        <w:t xml:space="preserve"> </w:t>
      </w:r>
      <w:r>
        <w:t>20.9</w:t>
      </w:r>
      <w:r>
        <w:t>.</w:t>
      </w:r>
    </w:p>
    <w:p w:rsidR="00E4078C" w:rsidRDefault="009760CB" w:rsidP="009241DF">
      <w:pPr>
        <w:pStyle w:val="Heading2"/>
      </w:pPr>
      <w:r>
        <w:rPr>
          <w:u w:val="single"/>
        </w:rPr>
        <w:lastRenderedPageBreak/>
        <w:t>Continuing Contract Performance.</w:t>
      </w:r>
      <w:r>
        <w:t xml:space="preserve">  </w:t>
      </w:r>
      <w:r w:rsidRPr="009241DF">
        <w:t>Pendi</w:t>
      </w:r>
      <w:r w:rsidRPr="009241DF">
        <w:t>ng final resolution of a Dispute or Claim, including, negotiation, mediation, arbitration, or litigation, the Contractor shall proceed diligently with performance of the Contract, and the District shall continue to make any undisputed payments in accordanc</w:t>
      </w:r>
      <w:r w:rsidRPr="009241DF">
        <w:t>e with the Contract (less any withholdings or offsets).  If the Claim is not resolved, Contractor agrees it will neither rescind the Contract nor stop the progress of the work, but Contractor’s sole remedy shall be to submit such controversy to determinati</w:t>
      </w:r>
      <w:r w:rsidRPr="009241DF">
        <w:t>on by a court of competent jurisdiction in the county where the Project is located, after the Project has been completed, and not before</w:t>
      </w:r>
      <w:r>
        <w:t xml:space="preserve">.  </w:t>
      </w:r>
    </w:p>
    <w:p w:rsidR="00E4078C" w:rsidRDefault="009760CB" w:rsidP="009241DF">
      <w:pPr>
        <w:pStyle w:val="Heading3"/>
      </w:pPr>
      <w:bookmarkStart w:id="149" w:name="_Ref472596172"/>
      <w:r>
        <w:rPr>
          <w:i/>
        </w:rPr>
        <w:t>District’s Option to Submit Individual Disputes to Arbitration during Claims and Disputes Process.</w:t>
      </w:r>
      <w:r>
        <w:t xml:space="preserve">  </w:t>
      </w:r>
      <w:r w:rsidRPr="009241DF">
        <w:t>At the District’</w:t>
      </w:r>
      <w:r w:rsidRPr="009241DF">
        <w:t>s sole option, in order to more efficiently resolve Claims during the Project and prior to the completion of the Claims Process, pursuant to Government Code section 9201, the District may submit individual Disputes or Claims for binding arbitration and Con</w:t>
      </w:r>
      <w:r w:rsidRPr="009241DF">
        <w:t>tractor agrees to the resolution of for each individual Dispute or Claim by an Arbitrator, including resolution of time and delays.  If binding arbitration is utilized for individual Disputes or Claims, such resolution is full and final as to that particul</w:t>
      </w:r>
      <w:r w:rsidRPr="009241DF">
        <w:t>ar Dispute or Claim.  THIS INDIVIDUAL DISPUTE ARBITRATION PROCESS IS NOT AN ARBITRATION CLAUSE AND SHALL NOT BE CONSTRUED AS AN AGREEMENT TO ARBITRATE.  THIS INDIVIDUAL DISPUTES ARBITRATION PROCESS IS FOR THE SOLE PURPOSE OF STREAMLINING AND RESOLVING DISP</w:t>
      </w:r>
      <w:r w:rsidRPr="009241DF">
        <w:t>UTES OR CLAIMS DURING CONSTRUCTION AND SHALL BE REQUESTED ON SPECIFIC INDIVIDUAL ITEMS BY THE DISTRICT PRIOR TO RETENTION PAYMENT (EVEN IF THERE ARE DEDUCTIONS MADE FROM RETENTION PAYMENT) WHICH REPRESENTS THE FINAL COMPLETION OF THE PROJECT</w:t>
      </w:r>
      <w:r>
        <w:t>.</w:t>
      </w:r>
      <w:bookmarkEnd w:id="149"/>
    </w:p>
    <w:p w:rsidR="009241DF" w:rsidRPr="009241DF" w:rsidRDefault="009760CB" w:rsidP="009241DF">
      <w:pPr>
        <w:pStyle w:val="Heading4"/>
      </w:pPr>
      <w:r w:rsidRPr="009241DF">
        <w:t>If there is n</w:t>
      </w:r>
      <w:r w:rsidRPr="009241DF">
        <w:t>o Retention remaining on the Project, individual Disputes initiated prior to Project Final Completion shall continue until a final disposition of the Arbitration or resolution of the individual Claim or Dispute</w:t>
      </w:r>
      <w:r>
        <w:t>.</w:t>
      </w:r>
    </w:p>
    <w:p w:rsidR="00E4078C" w:rsidRDefault="009760CB" w:rsidP="009241DF">
      <w:pPr>
        <w:pStyle w:val="Heading4"/>
      </w:pPr>
      <w:r w:rsidRPr="009241DF">
        <w:t>The Arbitration process shall not toll the D</w:t>
      </w:r>
      <w:r w:rsidRPr="009241DF">
        <w:t xml:space="preserve">isputes or Claims process under Article </w:t>
      </w:r>
      <w:r>
        <w:t>20</w:t>
      </w:r>
      <w:r w:rsidRPr="009241DF">
        <w:t xml:space="preserve"> or the requirement to submit Claims to Court under Article </w:t>
      </w:r>
      <w:r>
        <w:t>20.13</w:t>
      </w:r>
      <w:r>
        <w:t>.</w:t>
      </w:r>
    </w:p>
    <w:p w:rsidR="00E4078C" w:rsidRDefault="009760CB">
      <w:pPr>
        <w:pStyle w:val="Heading2"/>
      </w:pPr>
      <w:r w:rsidRPr="004F403D">
        <w:rPr>
          <w:u w:val="single"/>
        </w:rPr>
        <w:t>Claims for Concealed Trenches or Excavations Greater Than Four Feet Below the Surface</w:t>
      </w:r>
      <w:r>
        <w:t xml:space="preserve">.  When any excavation or trenching extends greater than four </w:t>
      </w:r>
      <w:r>
        <w:t>feet below the surface:</w:t>
      </w:r>
    </w:p>
    <w:p w:rsidR="00E4078C" w:rsidRDefault="009760CB">
      <w:pPr>
        <w:pStyle w:val="Heading3"/>
      </w:pPr>
      <w:r>
        <w:rPr>
          <w:i/>
        </w:rPr>
        <w:t>Immediately upon discovery</w:t>
      </w:r>
      <w:r>
        <w:t xml:space="preserve">, The Contractor shall promptly, and before the following conditions are disturbed, notify the District, by telephone and in writing of </w:t>
      </w:r>
      <w:r>
        <w:t>any</w:t>
      </w:r>
      <w:r>
        <w:t>:</w:t>
      </w:r>
    </w:p>
    <w:p w:rsidR="00E4078C" w:rsidRDefault="009760CB" w:rsidP="004F403D">
      <w:pPr>
        <w:pStyle w:val="Heading4"/>
      </w:pPr>
      <w:r>
        <w:t>Subsurface or latent physical conditions at the Site differing fr</w:t>
      </w:r>
      <w:r>
        <w:t>om those indicated in the Drawings, Specifications, or pursuant to the documents and information from Contractor’s Due Diligence</w:t>
      </w:r>
      <w:r>
        <w:t xml:space="preserve"> or Due Diligence Documents</w:t>
      </w:r>
      <w:r>
        <w:t>.</w:t>
      </w:r>
    </w:p>
    <w:p w:rsidR="00E4078C" w:rsidRDefault="009760CB" w:rsidP="004F403D">
      <w:pPr>
        <w:pStyle w:val="Heading4"/>
      </w:pPr>
      <w:r>
        <w:t>Unknown physical conditions at the Site of any unusual nature, different materially from those ordi</w:t>
      </w:r>
      <w:r>
        <w:t>narily encountered and generally recognized as inherent in Work of the character provided for in the Contract.</w:t>
      </w:r>
    </w:p>
    <w:p w:rsidR="0071091B" w:rsidRDefault="009760CB" w:rsidP="004F403D">
      <w:pPr>
        <w:pStyle w:val="Heading4"/>
      </w:pPr>
      <w:r>
        <w:t>Hazardous waste condition, except, i</w:t>
      </w:r>
      <w:r w:rsidRPr="00992C60">
        <w:t>f Contractor’s bid includes removal or disposal of hazardous substances</w:t>
      </w:r>
      <w:r>
        <w:t>, or is part of Contractor’s Due Dilig</w:t>
      </w:r>
      <w:r>
        <w:t>ence or Due Diligence Documents</w:t>
      </w:r>
      <w:r w:rsidRPr="00992C60">
        <w:t xml:space="preserve">.  Material that the Contractor believes may be a material that is hazardous waste, as defined in Section 25117 of the Health and Safety Code, is required to </w:t>
      </w:r>
      <w:r w:rsidRPr="00992C60">
        <w:lastRenderedPageBreak/>
        <w:t>be removed to a Class I, Class II, or Class III disposal site in ac</w:t>
      </w:r>
      <w:r w:rsidRPr="00992C60">
        <w:t xml:space="preserve">cordance with the provisions of existing law.  In such case, the notice procedures </w:t>
      </w:r>
      <w:r>
        <w:t xml:space="preserve">and requirements </w:t>
      </w:r>
      <w:r w:rsidRPr="00992C60">
        <w:t xml:space="preserve">of </w:t>
      </w:r>
      <w:r>
        <w:t xml:space="preserve">Article </w:t>
      </w:r>
      <w:r>
        <w:t>17.5.2</w:t>
      </w:r>
      <w:r>
        <w:t xml:space="preserve"> shall</w:t>
      </w:r>
      <w:r w:rsidRPr="00992C60">
        <w:t xml:space="preserve"> apply</w:t>
      </w:r>
      <w:r>
        <w:t>.</w:t>
      </w:r>
    </w:p>
    <w:p w:rsidR="00E4078C" w:rsidRDefault="009760CB">
      <w:pPr>
        <w:pStyle w:val="Heading3"/>
      </w:pPr>
      <w:r>
        <w:rPr>
          <w:i/>
        </w:rPr>
        <w:t>The District shall investigate the conditions</w:t>
      </w:r>
      <w:r>
        <w:t>, and if District finds that the conditions do materially so differ, and cause a</w:t>
      </w:r>
      <w:r>
        <w:t xml:space="preserve"> decrease or increase in the Contractor’s cost of, or the time required for, performance of any part of the Work</w:t>
      </w:r>
      <w:r>
        <w:t xml:space="preserve"> shall issue a change order or C</w:t>
      </w:r>
      <w:r>
        <w:t xml:space="preserve">onstruction </w:t>
      </w:r>
      <w:r>
        <w:t>C</w:t>
      </w:r>
      <w:r>
        <w:t xml:space="preserve">hange </w:t>
      </w:r>
      <w:r>
        <w:t>D</w:t>
      </w:r>
      <w:r>
        <w:t>ocument</w:t>
      </w:r>
      <w:r>
        <w:t xml:space="preserve"> under the procedures described in the Contract.</w:t>
      </w:r>
    </w:p>
    <w:p w:rsidR="00E4078C" w:rsidRDefault="009760CB">
      <w:pPr>
        <w:pStyle w:val="Heading3"/>
      </w:pPr>
      <w:r>
        <w:rPr>
          <w:i/>
        </w:rPr>
        <w:t>In the event that a dispute</w:t>
      </w:r>
      <w:r>
        <w:t xml:space="preserve"> arises b</w:t>
      </w:r>
      <w:r>
        <w:t xml:space="preserve">etween </w:t>
      </w:r>
      <w:r>
        <w:t>a</w:t>
      </w:r>
      <w:r>
        <w:t xml:space="preserve"> public entity or District and the Contractor whether the conditions materially differ, or cause a decrease or increase in the Contractor’s cost of, or time required for, performance of any part of the Work, the Contractor shall not be excused from</w:t>
      </w:r>
      <w:r>
        <w:t xml:space="preserve"> any scheduled Completion Date provided for by the Contract, but shall proceed with all Work to be performed under the Contract.  The Contractor shall retain any and all rights provided either by Contract or by law which pertain to the resolution of disput</w:t>
      </w:r>
      <w:r>
        <w:t>es and protests between the contracting parties.</w:t>
      </w:r>
    </w:p>
    <w:p w:rsidR="00E4078C" w:rsidRDefault="009760CB" w:rsidP="0071091B">
      <w:pPr>
        <w:pStyle w:val="Heading2"/>
      </w:pPr>
      <w:r>
        <w:rPr>
          <w:u w:val="single"/>
        </w:rPr>
        <w:t>Dispute Concerning Extension of Time.</w:t>
      </w:r>
      <w:r>
        <w:t xml:space="preserve">  </w:t>
      </w:r>
      <w:r w:rsidRPr="0071091B">
        <w:t>If Contractor and District cannot agree upon an extension of time, whether compensable or not, then Contractor must have first completed the procedures set forth in Art</w:t>
      </w:r>
      <w:r w:rsidRPr="0071091B">
        <w:t xml:space="preserve">icle </w:t>
      </w:r>
      <w:r>
        <w:t>18</w:t>
      </w:r>
      <w:r w:rsidRPr="0071091B">
        <w:t xml:space="preserve">.  Upon completion of the procedures set forth under Article </w:t>
      </w:r>
      <w:r>
        <w:t>18</w:t>
      </w:r>
      <w:r w:rsidRPr="0071091B">
        <w:t xml:space="preserve">, Contractor must then comply with the requirements in this Article including those set forth under Article </w:t>
      </w:r>
      <w:r>
        <w:t>20.9</w:t>
      </w:r>
      <w:r>
        <w:t>.</w:t>
      </w:r>
    </w:p>
    <w:p w:rsidR="00E4078C" w:rsidRPr="0071091B" w:rsidRDefault="009760CB" w:rsidP="0071091B">
      <w:pPr>
        <w:pStyle w:val="Heading2"/>
      </w:pPr>
      <w:bookmarkStart w:id="150" w:name="_Ref472595901"/>
      <w:r>
        <w:rPr>
          <w:u w:val="single"/>
        </w:rPr>
        <w:t>Claims Procedures.</w:t>
      </w:r>
      <w:r w:rsidRPr="0071091B">
        <w:t xml:space="preserve">  </w:t>
      </w:r>
      <w:r>
        <w:t xml:space="preserve">Pursuant to the remedies under Public Contract Code </w:t>
      </w:r>
      <w:r>
        <w:t>section</w:t>
      </w:r>
      <w:r>
        <w:t xml:space="preserve"> 9201 and Government Code </w:t>
      </w:r>
      <w:r>
        <w:t>section</w:t>
      </w:r>
      <w:r>
        <w:t xml:space="preserve"> 930.2, Contractor, through execution of this Agreement, also agrees to comply with the</w:t>
      </w:r>
      <w:r>
        <w:t xml:space="preserve"> Claims requirements under </w:t>
      </w:r>
      <w:r>
        <w:t>Article</w:t>
      </w:r>
      <w:r>
        <w:t xml:space="preserve"> </w:t>
      </w:r>
      <w:r>
        <w:t>20</w:t>
      </w:r>
      <w:r>
        <w:t xml:space="preserve"> to quickly and efficiently resolve disputes.  Further, to provide a level of accuracy to th</w:t>
      </w:r>
      <w:r>
        <w:t xml:space="preserve">e records submitted, the District shall have the right to audit books and records pursuant to Article </w:t>
      </w:r>
      <w:r>
        <w:t>21</w:t>
      </w:r>
      <w:r>
        <w:t xml:space="preserve"> based on the actual costs incurred and to reduce the uncertainty in resolving disputes with limited information.</w:t>
      </w:r>
      <w:bookmarkEnd w:id="150"/>
      <w:r>
        <w:t xml:space="preserve">  </w:t>
      </w:r>
      <w:r>
        <w:t xml:space="preserve"> </w:t>
      </w:r>
    </w:p>
    <w:p w:rsidR="00E4078C" w:rsidRDefault="009760CB">
      <w:pPr>
        <w:pStyle w:val="Heading3"/>
        <w:rPr>
          <w:i/>
        </w:rPr>
      </w:pPr>
      <w:r>
        <w:rPr>
          <w:i/>
        </w:rPr>
        <w:t>Procedure Applicable to all Claims</w:t>
      </w:r>
    </w:p>
    <w:p w:rsidR="00E4078C" w:rsidRDefault="009760CB" w:rsidP="0071091B">
      <w:pPr>
        <w:pStyle w:val="Heading4"/>
      </w:pPr>
      <w:bookmarkStart w:id="151" w:name="_Ref472595877"/>
      <w:r>
        <w:rPr>
          <w:u w:val="single"/>
        </w:rPr>
        <w:t>Definition of Claim</w:t>
      </w:r>
      <w:r>
        <w:t xml:space="preserve">:  </w:t>
      </w:r>
      <w:r w:rsidRPr="0071091B">
        <w:t>A “Claim” is where a Dispute between the parties rises to the level where backup documentation is assembled and provided to the District as a separate demand by the Contractor for: (1) a time extension, including, without limitation, for relief from damage</w:t>
      </w:r>
      <w:r w:rsidRPr="0071091B">
        <w:t>s or penalties for delay assessed by the District under the Contract; (2) payment by the District of money or damages arising from Work done by, or on behalf of, the Contractor pursuant to the Contract and payment for which is not otherwise expressly provi</w:t>
      </w:r>
      <w:r w:rsidRPr="0071091B">
        <w:t>ded for or to which the Contractor is not otherwise entitled to; or (3) an amount of payment disputed by the District.  If the Claim is for damages associated with a DSA Stop Work Order, the Contractor shall not be entitled to a request for Compensation, b</w:t>
      </w:r>
      <w:r w:rsidRPr="0071091B">
        <w:t xml:space="preserve">ut shall be entitled to utilize Governmental Delay Float (See Article </w:t>
      </w:r>
      <w:r>
        <w:t>9.2.1</w:t>
      </w:r>
      <w:r w:rsidRPr="0071091B">
        <w:t>.)</w:t>
      </w:r>
      <w:bookmarkEnd w:id="151"/>
    </w:p>
    <w:p w:rsidR="00E4078C" w:rsidRDefault="009760CB" w:rsidP="00211CDA">
      <w:pPr>
        <w:pStyle w:val="Heading4"/>
      </w:pPr>
      <w:r>
        <w:rPr>
          <w:u w:val="single"/>
        </w:rPr>
        <w:t>Filing Claim Is Not Basis to Discontinue Work</w:t>
      </w:r>
      <w:r>
        <w:t xml:space="preserve">:  </w:t>
      </w:r>
      <w:r w:rsidRPr="00211CDA">
        <w:t>The Contractor shall promptly comply with Work under the Contract or Work requested by the District even though a written Claim ha</w:t>
      </w:r>
      <w:r w:rsidRPr="00211CDA">
        <w:t>s been filed.  The Contractor and the District shall make good faith efforts to resolve any and all Claims that may arise during the performance of the Work covered by this Contract</w:t>
      </w:r>
      <w:r>
        <w:t xml:space="preserve">. </w:t>
      </w:r>
    </w:p>
    <w:p w:rsidR="00E4078C" w:rsidRDefault="009760CB" w:rsidP="00211CDA">
      <w:pPr>
        <w:pStyle w:val="Heading4"/>
      </w:pPr>
      <w:r>
        <w:rPr>
          <w:u w:val="single"/>
        </w:rPr>
        <w:t>Claim Notification:</w:t>
      </w:r>
      <w:r>
        <w:t xml:space="preserve">  </w:t>
      </w:r>
      <w:r w:rsidRPr="00211CDA">
        <w:t>The Contractor shall within seven (7) calendar days</w:t>
      </w:r>
      <w:r w:rsidRPr="00211CDA">
        <w:t xml:space="preserve"> after the written decision of the Architect, or if the time period for Architect’s decision has passed under Article </w:t>
      </w:r>
      <w:r>
        <w:t>20.5</w:t>
      </w:r>
      <w:r w:rsidRPr="00211CDA">
        <w:t xml:space="preserve">, submit a notification in writing sent by registered mail or certified mail with </w:t>
      </w:r>
      <w:r w:rsidRPr="00211CDA">
        <w:lastRenderedPageBreak/>
        <w:t>return receipt requested, with the District (and the</w:t>
      </w:r>
      <w:r w:rsidRPr="00211CDA">
        <w:t xml:space="preserve"> District’s CM) stating clearly the basis for the Claim and including all relevant and required documents.  If the notification is not submitted within seven (7) days after the written decision of the Architect or the passage of time under Article </w:t>
      </w:r>
      <w:r>
        <w:t>20.5</w:t>
      </w:r>
      <w:r w:rsidRPr="00211CDA">
        <w:t>, th</w:t>
      </w:r>
      <w:r w:rsidRPr="00211CDA">
        <w:t>e Contractor shall be deemed to have waived all right to assert the Claim, and the Claim shall be denied.  Claims submitted after the Retention Payment date shall also be considered null and void by the District.  All Claims shall be reviewed pursuant to A</w:t>
      </w:r>
      <w:r w:rsidRPr="00211CDA">
        <w:t xml:space="preserve">rticles </w:t>
      </w:r>
      <w:r>
        <w:t>20.1</w:t>
      </w:r>
      <w:r>
        <w:t xml:space="preserve"> </w:t>
      </w:r>
      <w:r w:rsidRPr="00211CDA">
        <w:t xml:space="preserve">through </w:t>
      </w:r>
      <w:r>
        <w:t>20.5</w:t>
      </w:r>
      <w:r>
        <w:t>.</w:t>
      </w:r>
    </w:p>
    <w:p w:rsidR="00E4078C" w:rsidRDefault="009760CB">
      <w:pPr>
        <w:pStyle w:val="Heading4"/>
      </w:pPr>
      <w:r>
        <w:t>The Formal Notification of Claim must be presented as follows:</w:t>
      </w:r>
    </w:p>
    <w:p w:rsidR="004F403D" w:rsidRDefault="009760CB" w:rsidP="004F403D">
      <w:pPr>
        <w:pStyle w:val="Heading5"/>
        <w:numPr>
          <w:ilvl w:val="0"/>
          <w:numId w:val="0"/>
        </w:numPr>
        <w:spacing w:before="0"/>
        <w:ind w:left="4320"/>
      </w:pPr>
    </w:p>
    <w:p w:rsidR="00E4078C" w:rsidRDefault="009760CB" w:rsidP="004F403D">
      <w:pPr>
        <w:pStyle w:val="Heading5"/>
        <w:spacing w:before="0"/>
      </w:pPr>
      <w:r>
        <w:t>The term “Claim” must be at the top of the page in no smaller than 20 point writing.</w:t>
      </w:r>
    </w:p>
    <w:p w:rsidR="00E4078C" w:rsidRDefault="009760CB" w:rsidP="004F403D">
      <w:pPr>
        <w:pStyle w:val="Heading5"/>
        <w:spacing w:before="0"/>
      </w:pPr>
      <w:r>
        <w:t>All documentation submitted pursuant</w:t>
      </w:r>
      <w:r>
        <w:t xml:space="preserve"> to </w:t>
      </w:r>
      <w:r>
        <w:t>Article</w:t>
      </w:r>
      <w:r>
        <w:t xml:space="preserve"> </w:t>
      </w:r>
      <w:r>
        <w:t>20</w:t>
      </w:r>
      <w:r>
        <w:t xml:space="preserve"> to the Architect shall be sub</w:t>
      </w:r>
      <w:r>
        <w:t>mitted with the title “claim.”</w:t>
      </w:r>
    </w:p>
    <w:p w:rsidR="00E4078C" w:rsidRDefault="009760CB" w:rsidP="004F403D">
      <w:pPr>
        <w:pStyle w:val="Heading5"/>
        <w:spacing w:before="0"/>
      </w:pPr>
      <w:r>
        <w:t xml:space="preserve">A stack of documents, copy of all </w:t>
      </w:r>
      <w:r>
        <w:t>P</w:t>
      </w:r>
      <w:r>
        <w:t>roject documents, or the submission of random documents shall not constitute an adequate reference to supporting documentation</w:t>
      </w:r>
    </w:p>
    <w:p w:rsidR="00E4078C" w:rsidRDefault="009760CB" w:rsidP="004F403D">
      <w:pPr>
        <w:pStyle w:val="Heading5"/>
        <w:spacing w:before="0"/>
      </w:pPr>
      <w:r>
        <w:t>Any additional or supporting documentation that Contractor beli</w:t>
      </w:r>
      <w:r>
        <w:t>eves is relevant should be submitted at this time.</w:t>
      </w:r>
    </w:p>
    <w:p w:rsidR="00E4078C" w:rsidRDefault="009760CB" w:rsidP="00211CDA">
      <w:pPr>
        <w:pStyle w:val="Heading4"/>
      </w:pPr>
      <w:r>
        <w:rPr>
          <w:u w:val="single"/>
        </w:rPr>
        <w:t>Reasonable Documents to Support Claim</w:t>
      </w:r>
      <w:r>
        <w:t>:</w:t>
      </w:r>
      <w:r>
        <w:t xml:space="preserve"> </w:t>
      </w:r>
      <w:r>
        <w:t xml:space="preserve"> </w:t>
      </w:r>
      <w:r w:rsidRPr="00211CDA">
        <w:t>The Contractor shall furnish reasonable documentation to support the Claim.  The Contractor shall provide all written detailed documentation which supports the Claim</w:t>
      </w:r>
      <w:r w:rsidRPr="00211CDA">
        <w:t>, including but not limited to:  arguments, justifications, cost, estimates, Schedule analysis and detailed documentation.  The format of the required reasonable documentation to support the Claim shall include, without limitation</w:t>
      </w:r>
      <w:r>
        <w:t>:</w:t>
      </w:r>
    </w:p>
    <w:p w:rsidR="00E4078C" w:rsidRDefault="009760CB">
      <w:pPr>
        <w:pStyle w:val="Heading5"/>
      </w:pPr>
      <w:r>
        <w:t>Cover letter.</w:t>
      </w:r>
    </w:p>
    <w:p w:rsidR="00E4078C" w:rsidRDefault="009760CB">
      <w:pPr>
        <w:pStyle w:val="Heading5"/>
      </w:pPr>
      <w:r>
        <w:t>Summary of</w:t>
      </w:r>
      <w:r>
        <w:t xml:space="preserve"> factual basis of Claim and amount of </w:t>
      </w:r>
      <w:r>
        <w:t>C</w:t>
      </w:r>
      <w:r>
        <w:t>laim.</w:t>
      </w:r>
    </w:p>
    <w:p w:rsidR="00E4078C" w:rsidRDefault="009760CB">
      <w:pPr>
        <w:pStyle w:val="Heading5"/>
      </w:pPr>
      <w:r>
        <w:t>Summary of the basis of the Claim, including the specific clause and section unde</w:t>
      </w:r>
      <w:r>
        <w:t>r the Contract under which the C</w:t>
      </w:r>
      <w:r>
        <w:t>laim is made.</w:t>
      </w:r>
    </w:p>
    <w:p w:rsidR="00E4078C" w:rsidRPr="000F30DE" w:rsidRDefault="009760CB">
      <w:pPr>
        <w:pStyle w:val="Heading5"/>
      </w:pPr>
      <w:r w:rsidRPr="000F30DE">
        <w:t>Documents relating to the Claim, including:</w:t>
      </w:r>
    </w:p>
    <w:p w:rsidR="00E4078C" w:rsidRPr="000F30DE" w:rsidRDefault="009760CB">
      <w:pPr>
        <w:pStyle w:val="Heading6"/>
        <w:rPr>
          <w:sz w:val="20"/>
          <w:szCs w:val="20"/>
        </w:rPr>
      </w:pPr>
      <w:r w:rsidRPr="000F30DE">
        <w:rPr>
          <w:sz w:val="20"/>
          <w:szCs w:val="20"/>
        </w:rPr>
        <w:t>Specifications sections in question.</w:t>
      </w:r>
    </w:p>
    <w:p w:rsidR="00E4078C" w:rsidRPr="000F30DE" w:rsidRDefault="009760CB">
      <w:pPr>
        <w:pStyle w:val="Heading6"/>
        <w:spacing w:before="200"/>
        <w:rPr>
          <w:sz w:val="20"/>
          <w:szCs w:val="20"/>
        </w:rPr>
      </w:pPr>
      <w:r w:rsidRPr="000F30DE">
        <w:rPr>
          <w:sz w:val="20"/>
          <w:szCs w:val="20"/>
        </w:rPr>
        <w:t>Rel</w:t>
      </w:r>
      <w:r w:rsidRPr="000F30DE">
        <w:rPr>
          <w:sz w:val="20"/>
          <w:szCs w:val="20"/>
        </w:rPr>
        <w:t>evant portions of the Drawings</w:t>
      </w:r>
    </w:p>
    <w:p w:rsidR="00E4078C" w:rsidRPr="000F30DE" w:rsidRDefault="009760CB">
      <w:pPr>
        <w:pStyle w:val="Heading6"/>
        <w:spacing w:before="200"/>
        <w:rPr>
          <w:sz w:val="20"/>
          <w:szCs w:val="20"/>
        </w:rPr>
      </w:pPr>
      <w:r w:rsidRPr="000F30DE">
        <w:rPr>
          <w:sz w:val="20"/>
          <w:szCs w:val="20"/>
        </w:rPr>
        <w:t>Applicable Clarifications (RFI’s)</w:t>
      </w:r>
    </w:p>
    <w:p w:rsidR="00E4078C" w:rsidRPr="00211CDA" w:rsidRDefault="009760CB">
      <w:pPr>
        <w:pStyle w:val="Heading6"/>
        <w:spacing w:before="200"/>
        <w:rPr>
          <w:sz w:val="20"/>
          <w:szCs w:val="20"/>
        </w:rPr>
      </w:pPr>
      <w:r w:rsidRPr="00211CDA">
        <w:rPr>
          <w:sz w:val="20"/>
          <w:szCs w:val="20"/>
        </w:rPr>
        <w:t>Other relevant information, including responses that were received.</w:t>
      </w:r>
    </w:p>
    <w:p w:rsidR="00211CDA" w:rsidRPr="00211CDA" w:rsidRDefault="009760CB" w:rsidP="00211CDA">
      <w:pPr>
        <w:pStyle w:val="Heading6"/>
        <w:spacing w:before="200"/>
        <w:rPr>
          <w:sz w:val="20"/>
          <w:szCs w:val="20"/>
        </w:rPr>
      </w:pPr>
      <w:r w:rsidRPr="00211CDA">
        <w:rPr>
          <w:sz w:val="20"/>
          <w:szCs w:val="20"/>
        </w:rPr>
        <w:t>Contractor Analysis of Claim merit.</w:t>
      </w:r>
    </w:p>
    <w:p w:rsidR="00E4078C" w:rsidRPr="00211CDA" w:rsidRDefault="009760CB" w:rsidP="00211CDA">
      <w:pPr>
        <w:pStyle w:val="Heading6"/>
        <w:numPr>
          <w:ilvl w:val="0"/>
          <w:numId w:val="0"/>
        </w:numPr>
        <w:spacing w:before="200"/>
        <w:ind w:left="5040"/>
        <w:rPr>
          <w:sz w:val="20"/>
          <w:szCs w:val="20"/>
        </w:rPr>
      </w:pPr>
      <w:r>
        <w:rPr>
          <w:sz w:val="20"/>
          <w:szCs w:val="20"/>
        </w:rPr>
        <w:t>(a)</w:t>
      </w:r>
      <w:r>
        <w:rPr>
          <w:sz w:val="20"/>
          <w:szCs w:val="20"/>
        </w:rPr>
        <w:tab/>
      </w:r>
      <w:r w:rsidRPr="00211CDA">
        <w:rPr>
          <w:sz w:val="20"/>
          <w:szCs w:val="20"/>
        </w:rPr>
        <w:t xml:space="preserve">Contractor’s analysis of any </w:t>
      </w:r>
      <w:r w:rsidRPr="00211CDA">
        <w:rPr>
          <w:sz w:val="20"/>
          <w:szCs w:val="20"/>
        </w:rPr>
        <w:t>Subcontractor</w:t>
      </w:r>
      <w:r w:rsidRPr="00211CDA">
        <w:rPr>
          <w:sz w:val="20"/>
          <w:szCs w:val="20"/>
        </w:rPr>
        <w:t xml:space="preserve"> vendor claims that are being passed through.</w:t>
      </w:r>
    </w:p>
    <w:p w:rsidR="00E4078C" w:rsidRPr="00211CDA" w:rsidRDefault="009760CB" w:rsidP="00211CDA">
      <w:pPr>
        <w:pStyle w:val="Heading6"/>
        <w:numPr>
          <w:ilvl w:val="0"/>
          <w:numId w:val="0"/>
        </w:numPr>
        <w:spacing w:before="200"/>
        <w:ind w:left="5040"/>
        <w:rPr>
          <w:sz w:val="20"/>
          <w:szCs w:val="20"/>
        </w:rPr>
      </w:pPr>
      <w:r>
        <w:rPr>
          <w:sz w:val="20"/>
          <w:szCs w:val="20"/>
        </w:rPr>
        <w:t>(b)</w:t>
      </w:r>
      <w:r>
        <w:rPr>
          <w:sz w:val="20"/>
          <w:szCs w:val="20"/>
        </w:rPr>
        <w:tab/>
      </w:r>
      <w:r w:rsidRPr="00211CDA">
        <w:rPr>
          <w:sz w:val="20"/>
          <w:szCs w:val="20"/>
        </w:rPr>
        <w:t>Any analysis performed by outside consultants</w:t>
      </w:r>
      <w:r>
        <w:rPr>
          <w:sz w:val="20"/>
          <w:szCs w:val="20"/>
        </w:rPr>
        <w:t>.</w:t>
      </w:r>
    </w:p>
    <w:p w:rsidR="00E4078C" w:rsidRPr="00211CDA" w:rsidRDefault="009760CB" w:rsidP="00211CDA">
      <w:pPr>
        <w:pStyle w:val="Heading6"/>
        <w:numPr>
          <w:ilvl w:val="0"/>
          <w:numId w:val="0"/>
        </w:numPr>
        <w:spacing w:before="200"/>
        <w:ind w:left="5040"/>
        <w:rPr>
          <w:sz w:val="20"/>
          <w:szCs w:val="20"/>
        </w:rPr>
      </w:pPr>
      <w:r>
        <w:rPr>
          <w:sz w:val="20"/>
          <w:szCs w:val="20"/>
        </w:rPr>
        <w:lastRenderedPageBreak/>
        <w:t>(c)</w:t>
      </w:r>
      <w:r>
        <w:rPr>
          <w:sz w:val="20"/>
          <w:szCs w:val="20"/>
        </w:rPr>
        <w:tab/>
      </w:r>
      <w:r w:rsidRPr="00211CDA">
        <w:rPr>
          <w:sz w:val="20"/>
          <w:szCs w:val="20"/>
        </w:rPr>
        <w:t>Any legal analysis that Contractor deems relevant</w:t>
      </w:r>
      <w:r>
        <w:rPr>
          <w:sz w:val="20"/>
          <w:szCs w:val="20"/>
        </w:rPr>
        <w:t>.</w:t>
      </w:r>
    </w:p>
    <w:p w:rsidR="00E4078C" w:rsidRDefault="009760CB">
      <w:pPr>
        <w:pStyle w:val="Heading5"/>
      </w:pPr>
      <w:r>
        <w:t>Breakdown of all costs associated with the Claim.</w:t>
      </w:r>
    </w:p>
    <w:p w:rsidR="00E4078C" w:rsidRDefault="009760CB" w:rsidP="00211CDA">
      <w:pPr>
        <w:pStyle w:val="Heading5"/>
      </w:pPr>
      <w:r w:rsidRPr="00211CDA">
        <w:t xml:space="preserve">For Claims relating to time extensions, an analysis </w:t>
      </w:r>
      <w:r w:rsidRPr="00211CDA">
        <w:t>and supporting documentation evidencing any effect upon the critical path in conformance with</w:t>
      </w:r>
      <w:r>
        <w:t xml:space="preserve"> the requirements of </w:t>
      </w:r>
      <w:r w:rsidRPr="00253330">
        <w:t>Article 9</w:t>
      </w:r>
      <w:r>
        <w:t xml:space="preserve"> and a </w:t>
      </w:r>
      <w:r w:rsidRPr="00211CDA">
        <w:t>chronology of events and related correspondence</w:t>
      </w:r>
      <w:r>
        <w:t>.</w:t>
      </w:r>
    </w:p>
    <w:p w:rsidR="00E4078C" w:rsidRDefault="009760CB">
      <w:pPr>
        <w:pStyle w:val="Heading5"/>
      </w:pPr>
      <w:r>
        <w:t>Chronology of events and related correspondence.</w:t>
      </w:r>
    </w:p>
    <w:p w:rsidR="00E4078C" w:rsidRDefault="009760CB">
      <w:pPr>
        <w:pStyle w:val="Heading5"/>
      </w:pPr>
      <w:r>
        <w:t xml:space="preserve">Applicable </w:t>
      </w:r>
      <w:r>
        <w:t>d</w:t>
      </w:r>
      <w:r>
        <w:t>aily reports and</w:t>
      </w:r>
      <w:r>
        <w:t xml:space="preserve"> logs.</w:t>
      </w:r>
    </w:p>
    <w:p w:rsidR="00E4078C" w:rsidRDefault="009760CB">
      <w:pPr>
        <w:pStyle w:val="Heading6"/>
        <w:spacing w:before="200"/>
        <w:rPr>
          <w:sz w:val="20"/>
          <w:szCs w:val="20"/>
        </w:rPr>
      </w:pPr>
      <w:r>
        <w:rPr>
          <w:sz w:val="20"/>
          <w:szCs w:val="20"/>
        </w:rPr>
        <w:t xml:space="preserve">If the </w:t>
      </w:r>
      <w:r>
        <w:rPr>
          <w:sz w:val="20"/>
          <w:szCs w:val="20"/>
        </w:rPr>
        <w:t>d</w:t>
      </w:r>
      <w:r>
        <w:rPr>
          <w:sz w:val="20"/>
          <w:szCs w:val="20"/>
        </w:rPr>
        <w:t xml:space="preserve">aily </w:t>
      </w:r>
      <w:r>
        <w:rPr>
          <w:sz w:val="20"/>
          <w:szCs w:val="20"/>
        </w:rPr>
        <w:t>r</w:t>
      </w:r>
      <w:r>
        <w:rPr>
          <w:sz w:val="20"/>
          <w:szCs w:val="20"/>
        </w:rPr>
        <w:t xml:space="preserve">eports or </w:t>
      </w:r>
      <w:r>
        <w:rPr>
          <w:sz w:val="20"/>
          <w:szCs w:val="20"/>
        </w:rPr>
        <w:t>l</w:t>
      </w:r>
      <w:r>
        <w:rPr>
          <w:sz w:val="20"/>
          <w:szCs w:val="20"/>
        </w:rPr>
        <w:t xml:space="preserve">ogs are not available, lost or destroyed, there shall be a presumption that the lost documentation was unfavorable to the Contractor.  See California Civil Jury Instruction 204. </w:t>
      </w:r>
    </w:p>
    <w:p w:rsidR="00E4078C" w:rsidRDefault="009760CB">
      <w:pPr>
        <w:pStyle w:val="Heading5"/>
      </w:pPr>
      <w:r>
        <w:t>For Claims involving overhead, cost escalatio</w:t>
      </w:r>
      <w:r>
        <w:t>n, acceleration, disruption or increased costs, a full version of job costs reports organized by category of work or Schedule of Values with budget information tracked against actual costs.  Any and all supporting back-up data, including the original bid</w:t>
      </w:r>
      <w:r>
        <w:t xml:space="preserve"> o</w:t>
      </w:r>
      <w:r>
        <w:t>r cost documents</w:t>
      </w:r>
      <w:r>
        <w:t xml:space="preserve"> (and associated original unaltered metadata).</w:t>
      </w:r>
    </w:p>
    <w:p w:rsidR="00E4078C" w:rsidRDefault="009760CB">
      <w:pPr>
        <w:pStyle w:val="Heading6"/>
        <w:spacing w:before="200"/>
        <w:rPr>
          <w:sz w:val="20"/>
          <w:szCs w:val="20"/>
        </w:rPr>
      </w:pPr>
      <w:r>
        <w:rPr>
          <w:sz w:val="20"/>
          <w:szCs w:val="20"/>
        </w:rPr>
        <w:t>The meta</w:t>
      </w:r>
      <w:r>
        <w:rPr>
          <w:sz w:val="20"/>
          <w:szCs w:val="20"/>
        </w:rPr>
        <w:t>data and bid</w:t>
      </w:r>
      <w:r>
        <w:rPr>
          <w:sz w:val="20"/>
          <w:szCs w:val="20"/>
        </w:rPr>
        <w:t xml:space="preserve"> or cost</w:t>
      </w:r>
      <w:r>
        <w:rPr>
          <w:sz w:val="20"/>
          <w:szCs w:val="20"/>
        </w:rPr>
        <w:t xml:space="preserve"> information shall be provided confidentially and subject to a protective order to prevent dissemination to other contractors or to the public.  However, the bid </w:t>
      </w:r>
      <w:r>
        <w:rPr>
          <w:sz w:val="20"/>
          <w:szCs w:val="20"/>
        </w:rPr>
        <w:t xml:space="preserve">or </w:t>
      </w:r>
      <w:r>
        <w:rPr>
          <w:sz w:val="20"/>
          <w:szCs w:val="20"/>
        </w:rPr>
        <w:t xml:space="preserve">cost </w:t>
      </w:r>
      <w:r>
        <w:rPr>
          <w:sz w:val="20"/>
          <w:szCs w:val="20"/>
        </w:rPr>
        <w:t xml:space="preserve">documentation should remain intact and available for review and inspection in case of this type of increased cost </w:t>
      </w:r>
      <w:r>
        <w:rPr>
          <w:sz w:val="20"/>
          <w:szCs w:val="20"/>
        </w:rPr>
        <w:t>C</w:t>
      </w:r>
      <w:r>
        <w:rPr>
          <w:sz w:val="20"/>
          <w:szCs w:val="20"/>
        </w:rPr>
        <w:t>laim.</w:t>
      </w:r>
    </w:p>
    <w:p w:rsidR="00E4078C" w:rsidRDefault="009760CB">
      <w:pPr>
        <w:pStyle w:val="Heading6"/>
        <w:spacing w:before="200"/>
        <w:rPr>
          <w:sz w:val="20"/>
          <w:szCs w:val="20"/>
        </w:rPr>
      </w:pPr>
      <w:r>
        <w:rPr>
          <w:sz w:val="20"/>
          <w:szCs w:val="20"/>
        </w:rPr>
        <w:t xml:space="preserve">This data on the bid </w:t>
      </w:r>
      <w:r>
        <w:rPr>
          <w:sz w:val="20"/>
          <w:szCs w:val="20"/>
        </w:rPr>
        <w:t xml:space="preserve">or cost information </w:t>
      </w:r>
      <w:r>
        <w:rPr>
          <w:sz w:val="20"/>
          <w:szCs w:val="20"/>
        </w:rPr>
        <w:t xml:space="preserve">shall be made available to any District attorneys or experts and shall also be utilized </w:t>
      </w:r>
      <w:r>
        <w:rPr>
          <w:sz w:val="20"/>
          <w:szCs w:val="20"/>
        </w:rPr>
        <w:t>as evidence for any legal proceedings.</w:t>
      </w:r>
    </w:p>
    <w:p w:rsidR="00E4078C" w:rsidRDefault="009760CB">
      <w:pPr>
        <w:pStyle w:val="Heading6"/>
        <w:spacing w:before="200"/>
        <w:rPr>
          <w:sz w:val="20"/>
          <w:szCs w:val="20"/>
        </w:rPr>
      </w:pPr>
      <w:r>
        <w:rPr>
          <w:sz w:val="20"/>
          <w:szCs w:val="20"/>
        </w:rPr>
        <w:t xml:space="preserve">If the bid </w:t>
      </w:r>
      <w:r>
        <w:rPr>
          <w:sz w:val="20"/>
          <w:szCs w:val="20"/>
        </w:rPr>
        <w:t xml:space="preserve">or cost </w:t>
      </w:r>
      <w:r>
        <w:rPr>
          <w:sz w:val="20"/>
          <w:szCs w:val="20"/>
        </w:rPr>
        <w:t>documentation is not available, lost or destroyed, there shall be a presumption that the lost bid</w:t>
      </w:r>
      <w:r>
        <w:rPr>
          <w:sz w:val="20"/>
          <w:szCs w:val="20"/>
        </w:rPr>
        <w:t xml:space="preserve"> or cost</w:t>
      </w:r>
      <w:r>
        <w:rPr>
          <w:sz w:val="20"/>
          <w:szCs w:val="20"/>
        </w:rPr>
        <w:t xml:space="preserve"> documentation was unfavorable to the Contractor.  See California Civil Jury Instruction 204.</w:t>
      </w:r>
      <w:r>
        <w:rPr>
          <w:sz w:val="20"/>
          <w:szCs w:val="20"/>
        </w:rPr>
        <w:t xml:space="preserve"> </w:t>
      </w:r>
    </w:p>
    <w:p w:rsidR="00E4078C" w:rsidRDefault="009760CB">
      <w:pPr>
        <w:pStyle w:val="Heading5"/>
      </w:pPr>
      <w:r>
        <w:t xml:space="preserve">Certification:  The Contractor (and </w:t>
      </w:r>
      <w:r>
        <w:t>Subcontractor</w:t>
      </w:r>
      <w:r>
        <w:t>s, if applicable) shall submit with the claim a certification under penalty of perjury:</w:t>
      </w:r>
    </w:p>
    <w:p w:rsidR="00E4078C" w:rsidRDefault="009760CB">
      <w:pPr>
        <w:pStyle w:val="Heading6"/>
        <w:spacing w:before="200"/>
        <w:rPr>
          <w:sz w:val="20"/>
          <w:szCs w:val="20"/>
        </w:rPr>
      </w:pPr>
      <w:r>
        <w:rPr>
          <w:sz w:val="20"/>
          <w:szCs w:val="20"/>
        </w:rPr>
        <w:t xml:space="preserve">That the Contractor has reviewed the </w:t>
      </w:r>
      <w:r>
        <w:rPr>
          <w:sz w:val="20"/>
          <w:szCs w:val="20"/>
        </w:rPr>
        <w:t>C</w:t>
      </w:r>
      <w:r>
        <w:rPr>
          <w:sz w:val="20"/>
          <w:szCs w:val="20"/>
        </w:rPr>
        <w:t xml:space="preserve">laim and that such </w:t>
      </w:r>
      <w:r>
        <w:rPr>
          <w:sz w:val="20"/>
          <w:szCs w:val="20"/>
        </w:rPr>
        <w:t>C</w:t>
      </w:r>
      <w:r>
        <w:rPr>
          <w:sz w:val="20"/>
          <w:szCs w:val="20"/>
        </w:rPr>
        <w:t xml:space="preserve">laim is made in good faith; </w:t>
      </w:r>
    </w:p>
    <w:p w:rsidR="00E4078C" w:rsidRDefault="009760CB">
      <w:pPr>
        <w:pStyle w:val="Heading6"/>
        <w:spacing w:before="200"/>
        <w:rPr>
          <w:sz w:val="20"/>
          <w:szCs w:val="20"/>
        </w:rPr>
      </w:pPr>
      <w:r>
        <w:rPr>
          <w:sz w:val="20"/>
          <w:szCs w:val="20"/>
        </w:rPr>
        <w:t>Supporting data are accurate a</w:t>
      </w:r>
      <w:r>
        <w:rPr>
          <w:sz w:val="20"/>
          <w:szCs w:val="20"/>
        </w:rPr>
        <w:t>nd complete to the best of the Contractor’s knowledge and belief;</w:t>
      </w:r>
    </w:p>
    <w:p w:rsidR="00E4078C" w:rsidRDefault="009760CB">
      <w:pPr>
        <w:pStyle w:val="Heading6"/>
        <w:spacing w:before="200"/>
        <w:rPr>
          <w:sz w:val="20"/>
          <w:szCs w:val="20"/>
        </w:rPr>
      </w:pPr>
      <w:r>
        <w:rPr>
          <w:sz w:val="20"/>
          <w:szCs w:val="20"/>
        </w:rPr>
        <w:t>The amount requested accurately reflects the amount of compensation for which the Contractor believes the District is liable.</w:t>
      </w:r>
    </w:p>
    <w:p w:rsidR="00E4078C" w:rsidRDefault="009760CB">
      <w:pPr>
        <w:pStyle w:val="Heading6"/>
        <w:spacing w:before="200"/>
        <w:rPr>
          <w:sz w:val="20"/>
          <w:szCs w:val="20"/>
        </w:rPr>
      </w:pPr>
      <w:r>
        <w:rPr>
          <w:sz w:val="20"/>
          <w:szCs w:val="20"/>
        </w:rPr>
        <w:lastRenderedPageBreak/>
        <w:t>That the Contractor is famili</w:t>
      </w:r>
      <w:r>
        <w:rPr>
          <w:sz w:val="20"/>
          <w:szCs w:val="20"/>
        </w:rPr>
        <w:t>ar with Government Code section</w:t>
      </w:r>
      <w:r>
        <w:rPr>
          <w:sz w:val="20"/>
          <w:szCs w:val="20"/>
        </w:rPr>
        <w:t xml:space="preserve"> 126</w:t>
      </w:r>
      <w:r>
        <w:rPr>
          <w:sz w:val="20"/>
          <w:szCs w:val="20"/>
        </w:rPr>
        <w:t xml:space="preserve">50 et seq. and Penal Code </w:t>
      </w:r>
      <w:r>
        <w:rPr>
          <w:sz w:val="20"/>
          <w:szCs w:val="20"/>
        </w:rPr>
        <w:t>s</w:t>
      </w:r>
      <w:r>
        <w:rPr>
          <w:sz w:val="20"/>
          <w:szCs w:val="20"/>
        </w:rPr>
        <w:t>ection 72 and that false claims can lead to substantial fines and/or imprisonment.</w:t>
      </w:r>
    </w:p>
    <w:p w:rsidR="00E4078C" w:rsidRDefault="009760CB">
      <w:pPr>
        <w:pStyle w:val="Heading5"/>
      </w:pPr>
      <w:r>
        <w:t>Signature of Certification:  If the Contractor is not an individual, the certification shall be executed by an officer or general partner of the C</w:t>
      </w:r>
      <w:r>
        <w:t>ontractor having overall responsibility for the conduct of the Contractor’s affairs.</w:t>
      </w:r>
    </w:p>
    <w:p w:rsidR="008659FF" w:rsidRDefault="009760CB" w:rsidP="008659FF">
      <w:pPr>
        <w:pStyle w:val="Heading5"/>
      </w:pPr>
      <w:r>
        <w:t>Upon receipt of a Claim and all supporting documents as required above, the District shall conduct a reasonable review of the Claim and, within a period not to exceed 45 d</w:t>
      </w:r>
      <w:r>
        <w:t>ays, shall provide the Contractor a written statement identifying what portion of the Claim is disputed and what portion is undisputed. Upon receipt of a Claim, the District and Contractor may, by mutual agreement, extend the time period provided in this p</w:t>
      </w:r>
      <w:r>
        <w:t>aragraph.</w:t>
      </w:r>
    </w:p>
    <w:p w:rsidR="008659FF" w:rsidRDefault="009760CB" w:rsidP="008659FF">
      <w:pPr>
        <w:pStyle w:val="Heading5"/>
      </w:pPr>
      <w:r>
        <w:t>If the District needs approval from its governing Board to provide the Contractor a written statement identifying the disputed portion and the undisputed portion of the Claim, and the governing Board does not meet within the 45 days or within the</w:t>
      </w:r>
      <w:r>
        <w:t xml:space="preserve"> mutually agreed to extension of time following receipt of a Claim sent by registered mail or certified mail, return receipt requested, the District shall have up to three days following the next duly publicly noticed meeting of the governing Board after t</w:t>
      </w:r>
      <w:r>
        <w:t>he 45-day period, or extension, expires to provide the Contractor a written statement identifying the disputed portion and the undisputed portion.</w:t>
      </w:r>
    </w:p>
    <w:p w:rsidR="008659FF" w:rsidRDefault="009760CB" w:rsidP="008659FF">
      <w:pPr>
        <w:pStyle w:val="Heading5"/>
      </w:pPr>
      <w:r>
        <w:t>Any payment due on an undisputed portion of the Claim shall be processed and made within 60 days after the Di</w:t>
      </w:r>
      <w:r>
        <w:t xml:space="preserve">strict issues its written statement.  If the District fails to issue a written statement, </w:t>
      </w:r>
      <w:r w:rsidRPr="008659FF">
        <w:t>paragraph t</w:t>
      </w:r>
      <w:r>
        <w:t xml:space="preserve"> below shall apply.</w:t>
      </w:r>
    </w:p>
    <w:p w:rsidR="008659FF" w:rsidRDefault="009760CB" w:rsidP="008659FF">
      <w:pPr>
        <w:pStyle w:val="Heading5"/>
      </w:pPr>
      <w:r>
        <w:t xml:space="preserve">If the Contractor disputes the District's written response, or if the District fails to respond to a Claim issued pursuant to Article </w:t>
      </w:r>
      <w:r>
        <w:t>2</w:t>
      </w:r>
      <w:r>
        <w:t>0.9</w:t>
      </w:r>
      <w:r>
        <w:t xml:space="preserve"> within the time prescribed, the Contractor may demand in writing an informal conference to meet and confer for settlement of the issues in dispute. Upon receipt of a demand in writing sent by registered mail or certified mail, return receipt requested,</w:t>
      </w:r>
      <w:r>
        <w:t xml:space="preserve"> the District shall schedule a meet and confer conference within 30 days for settlement of the Claim.</w:t>
      </w:r>
    </w:p>
    <w:p w:rsidR="008659FF" w:rsidRDefault="009760CB" w:rsidP="008659FF">
      <w:pPr>
        <w:pStyle w:val="Heading5"/>
      </w:pPr>
      <w:r>
        <w:t>Within 10 business days following the conclusion of the meet and confer conference, if the Claim or any portion of the Claim remains in dispute, the Distr</w:t>
      </w:r>
      <w:r>
        <w:t>ict shall provide the Contractor a written statement identifying the portion of the Claim that remains in dispute and the portion that is undisputed. Any payment due on an undisputed portion of the Claim shall be processed and made within 60 days after the</w:t>
      </w:r>
      <w:r>
        <w:t xml:space="preserve"> District issues its written statement. Any disputed portion of the Claim, as identified by the Contractor in writing, shall be submitted to nonbinding mediation, with the District and the Contractor sharing the associated costs equally. The District </w:t>
      </w:r>
      <w:r>
        <w:lastRenderedPageBreak/>
        <w:t>and C</w:t>
      </w:r>
      <w:r>
        <w:t xml:space="preserve">ontractor shall mutually agree to a mediator within 10 business days after the disputed portion of the Claim has been identified in writing. If the parties cannot agree upon a mediator, each party shall select a mediator and those mediators shall select a </w:t>
      </w:r>
      <w:r>
        <w:t>qualified neutral third party to mediate with regard to the disputed portion of the Claim. Each party shall bear the fees and costs charged by its respective mediator in connection with the selection of the neutral mediator. If mediation is unsuccessful, t</w:t>
      </w:r>
      <w:r>
        <w:t xml:space="preserve">he parts of the Claim remaining in dispute shall be subject to applicable procedures in Article </w:t>
      </w:r>
      <w:r>
        <w:t>20.13</w:t>
      </w:r>
      <w:r>
        <w:t>.</w:t>
      </w:r>
    </w:p>
    <w:p w:rsidR="008659FF" w:rsidRDefault="009760CB" w:rsidP="008659FF">
      <w:pPr>
        <w:pStyle w:val="Heading5"/>
      </w:pPr>
      <w:r>
        <w:t xml:space="preserve">For purposes of Article </w:t>
      </w:r>
      <w:r>
        <w:t>20.9</w:t>
      </w:r>
      <w:r>
        <w:t xml:space="preserve">, mediation includes any nonbinding process, including, but not limited to, neutral evaluation or a dispute review board, in </w:t>
      </w:r>
      <w:r>
        <w:t>which an independent third party or board assists the parties in dispute resolution through negotiation or by issuance of an evaluation. Any mediation utilized shall conform to the timeframes in this section.</w:t>
      </w:r>
    </w:p>
    <w:p w:rsidR="008659FF" w:rsidRDefault="009760CB" w:rsidP="008659FF">
      <w:pPr>
        <w:pStyle w:val="Heading5"/>
      </w:pPr>
      <w:r>
        <w:t xml:space="preserve">Unless otherwise agreed to by the District and </w:t>
      </w:r>
      <w:r>
        <w:t xml:space="preserve">the Contractor in writing, the mediation conducted pursuant to Article </w:t>
      </w:r>
      <w:r>
        <w:t>20.9</w:t>
      </w:r>
      <w:r>
        <w:t xml:space="preserve"> </w:t>
      </w:r>
      <w:r>
        <w:t xml:space="preserve">shall excuse any further obligation under </w:t>
      </w:r>
      <w:r>
        <w:t>Public Contract Code s</w:t>
      </w:r>
      <w:r>
        <w:t>ection 20104.4 to mediate after litigation has been commenced.</w:t>
      </w:r>
    </w:p>
    <w:p w:rsidR="008659FF" w:rsidRDefault="009760CB" w:rsidP="008659FF">
      <w:pPr>
        <w:pStyle w:val="Heading5"/>
      </w:pPr>
      <w:r>
        <w:t>This Claims process does not preclude the District fr</w:t>
      </w:r>
      <w:r>
        <w:t xml:space="preserve">om requiring arbitration of disputes under private arbitration or the Public Works Contract Arbitration Program, if mediation under Article </w:t>
      </w:r>
      <w:r>
        <w:t>20.9</w:t>
      </w:r>
      <w:r>
        <w:t xml:space="preserve"> does not resolve the parties</w:t>
      </w:r>
      <w:r>
        <w:t>’</w:t>
      </w:r>
      <w:r>
        <w:t xml:space="preserve"> Claim.  This Claims process does not preclude the District from submitting indivi</w:t>
      </w:r>
      <w:r>
        <w:t xml:space="preserve">dual Disputes or Claims to binding arbitration pursuant to Article </w:t>
      </w:r>
      <w:r>
        <w:t>20.12</w:t>
      </w:r>
      <w:r>
        <w:t xml:space="preserve"> below.</w:t>
      </w:r>
    </w:p>
    <w:p w:rsidR="008659FF" w:rsidRDefault="009760CB" w:rsidP="008659FF">
      <w:pPr>
        <w:pStyle w:val="Heading5"/>
      </w:pPr>
      <w:r>
        <w:t xml:space="preserve">Failure by the District to respond to a Claim from the Contractor within the time periods described in this subdivision or to otherwise meet the time requirements of Article </w:t>
      </w:r>
      <w:r>
        <w:t>20</w:t>
      </w:r>
      <w:r>
        <w:t>.9</w:t>
      </w:r>
      <w:r>
        <w:t xml:space="preserve"> </w:t>
      </w:r>
      <w:r>
        <w:t xml:space="preserve">shall result in the Claim being deemed rejected in its entirety. A Claim that is denied by reason of the District's failure to have responded to a Claim, or its failure to otherwise meet the time requirements of Article </w:t>
      </w:r>
      <w:r>
        <w:t>20.9</w:t>
      </w:r>
      <w:r>
        <w:t>, shall not constitute an adv</w:t>
      </w:r>
      <w:r>
        <w:t>erse finding with regard to the merits of the Claim or the responsibility or qualifications of the Contractor.</w:t>
      </w:r>
    </w:p>
    <w:p w:rsidR="008659FF" w:rsidRDefault="009760CB" w:rsidP="008659FF">
      <w:pPr>
        <w:pStyle w:val="Heading5"/>
      </w:pPr>
      <w:r>
        <w:t>If a subcontractor or a lower tier subcontractor lacks legal standing to assert a Claim against a District because privity of contract does not exist, the Contractor may present to the District a Claim on behalf of a subcontractor or lower tier subcontract</w:t>
      </w:r>
      <w:r>
        <w:t xml:space="preserve">or. A subcontractor may request in writing, either on his or her own behalf or on behalf of a lower tier subcontractor, that the Contractor present a Claim for work which was performed by the subcontractor or by a lower tier subcontractor on behalf of the </w:t>
      </w:r>
      <w:r>
        <w:t xml:space="preserve">subcontractor. The subcontractor requesting that the Claim be presented to the District shall furnish reasonable documentation to support the Claim. Within 45 days of receipt of this written request, the </w:t>
      </w:r>
      <w:r>
        <w:lastRenderedPageBreak/>
        <w:t>Contractor shall notify the subcontractor in writing</w:t>
      </w:r>
      <w:r>
        <w:t xml:space="preserve"> as to whether the Contractor presented the Claim to the District and, if the Contractor did not present the Claim, provide the subcontractor with a statement of the reasons for not having done so.</w:t>
      </w:r>
    </w:p>
    <w:p w:rsidR="008659FF" w:rsidRDefault="009760CB" w:rsidP="008659FF">
      <w:pPr>
        <w:pStyle w:val="Heading5"/>
      </w:pPr>
      <w:r>
        <w:t>Upon receipt of a Claim, the parties may mutually agree to</w:t>
      </w:r>
      <w:r>
        <w:t xml:space="preserve"> waive, in writing, mediation and proceed directly to the commencement of a civil action or binding arbitration, as applicable.</w:t>
      </w:r>
    </w:p>
    <w:p w:rsidR="00E4078C" w:rsidRDefault="009760CB" w:rsidP="008659FF">
      <w:pPr>
        <w:pStyle w:val="Heading5"/>
      </w:pPr>
      <w:r>
        <w:t>The Contractor's Claim shall be denied if it fails to follow the requirements of this Article</w:t>
      </w:r>
      <w:r>
        <w:t>.</w:t>
      </w:r>
    </w:p>
    <w:p w:rsidR="008659FF" w:rsidRDefault="009760CB" w:rsidP="008659FF">
      <w:pPr>
        <w:pStyle w:val="Heading2"/>
      </w:pPr>
      <w:r w:rsidRPr="00B90315">
        <w:rPr>
          <w:u w:val="single"/>
        </w:rPr>
        <w:t>District (through CM or District'</w:t>
      </w:r>
      <w:r w:rsidRPr="00B90315">
        <w:rPr>
          <w:u w:val="single"/>
        </w:rPr>
        <w:t>s Agent or Attorney) May Request Additional Information</w:t>
      </w:r>
      <w:r>
        <w:t>.  Within thirty (30) days of receipt of the Claim and the information under this Article, the District may request in writing any additional documentation supporting the Claim or documentation relatin</w:t>
      </w:r>
      <w:r>
        <w:t>g to defenses to the Claim which the District may assert.  If additional documents are required, the time in which the Claim is evaluated may be extended by a reasonable time so the Claim and additional documents may be reviewed.</w:t>
      </w:r>
    </w:p>
    <w:p w:rsidR="008659FF" w:rsidRPr="008659FF" w:rsidRDefault="009760CB" w:rsidP="008659FF">
      <w:pPr>
        <w:pStyle w:val="Heading2"/>
      </w:pPr>
      <w:r w:rsidRPr="00B90315">
        <w:rPr>
          <w:u w:val="single"/>
        </w:rPr>
        <w:t>Claims Procedures in Addit</w:t>
      </w:r>
      <w:r w:rsidRPr="00B90315">
        <w:rPr>
          <w:u w:val="single"/>
        </w:rPr>
        <w:t>ion to Government Code Claim</w:t>
      </w:r>
      <w:r>
        <w:t>.  Nothing in the Claims proced</w:t>
      </w:r>
      <w:r>
        <w:t xml:space="preserve">ures set forth in </w:t>
      </w:r>
      <w:r>
        <w:t xml:space="preserve">Article </w:t>
      </w:r>
      <w:r>
        <w:t>20</w:t>
      </w:r>
      <w:r>
        <w:t xml:space="preserve"> of the </w:t>
      </w:r>
      <w:r>
        <w:t xml:space="preserve">CSA </w:t>
      </w:r>
      <w:r>
        <w:t>shall act to waive or relieve the Contractor from meeting the requirements set forth in Government Code section 900 et seq</w:t>
      </w:r>
      <w:r>
        <w:t>.</w:t>
      </w:r>
    </w:p>
    <w:p w:rsidR="00CA2324" w:rsidRPr="00CA2324" w:rsidRDefault="009760CB" w:rsidP="00CA2324">
      <w:pPr>
        <w:pStyle w:val="Heading2"/>
      </w:pPr>
      <w:bookmarkStart w:id="152" w:name="_Ref472596144"/>
      <w:r>
        <w:rPr>
          <w:u w:val="single"/>
        </w:rPr>
        <w:t>Binding Arbitration of Individual</w:t>
      </w:r>
      <w:r>
        <w:rPr>
          <w:u w:val="single"/>
        </w:rPr>
        <w:t xml:space="preserve"> Claim Issues</w:t>
      </w:r>
      <w:r>
        <w:t xml:space="preserve">.  To expedite resolution of Claims pursuant to Public Contract Code </w:t>
      </w:r>
      <w:r>
        <w:t>section</w:t>
      </w:r>
      <w:r>
        <w:t xml:space="preserve"> 9201, at the District’s sole option, the District may submit individual Claims to Arbitration prior to </w:t>
      </w:r>
      <w:r>
        <w:t xml:space="preserve">Retention Payment </w:t>
      </w:r>
      <w:r>
        <w:t xml:space="preserve">consistent with the requirements of Article </w:t>
      </w:r>
      <w:r>
        <w:t>2</w:t>
      </w:r>
      <w:r>
        <w:t>0.6.1</w:t>
      </w:r>
      <w:r>
        <w:t>.</w:t>
      </w:r>
      <w:bookmarkEnd w:id="152"/>
    </w:p>
    <w:p w:rsidR="00CA2324" w:rsidRPr="00CA2324" w:rsidRDefault="009760CB" w:rsidP="00CA2324">
      <w:pPr>
        <w:pStyle w:val="Heading2"/>
      </w:pPr>
      <w:bookmarkStart w:id="153" w:name="_Ref472595953"/>
      <w:r w:rsidRPr="00CA2324">
        <w:rPr>
          <w:u w:val="single"/>
        </w:rPr>
        <w:t>Resolution of Claims in Court of Competent Jurisdiction</w:t>
      </w:r>
      <w:r w:rsidRPr="00CA2324">
        <w:t>.  If Claims are not resolved under the procedure set f</w:t>
      </w:r>
      <w:r>
        <w:t xml:space="preserve">orth and pursuant to Article </w:t>
      </w:r>
      <w:r>
        <w:t>20.9</w:t>
      </w:r>
      <w:r w:rsidRPr="00CA2324">
        <w:t>, such Claim or controversy shall be submitted to a court in the County of the location of the Project aft</w:t>
      </w:r>
      <w:r w:rsidRPr="00CA2324">
        <w:t>er the Project has been completed, and not before</w:t>
      </w:r>
      <w:bookmarkEnd w:id="153"/>
    </w:p>
    <w:p w:rsidR="00E4078C" w:rsidRDefault="009760CB" w:rsidP="00B90315">
      <w:pPr>
        <w:pStyle w:val="Heading2"/>
      </w:pPr>
      <w:r w:rsidRPr="00B90315">
        <w:rPr>
          <w:u w:val="single"/>
        </w:rPr>
        <w:t>Warranties, Guarantees and Obligations</w:t>
      </w:r>
      <w:r w:rsidRPr="00B90315">
        <w:t xml:space="preserve">.  The duties and obligations imposed by </w:t>
      </w:r>
      <w:r>
        <w:t xml:space="preserve">this CSA </w:t>
      </w:r>
      <w:r w:rsidRPr="00B90315">
        <w:t xml:space="preserve">and the rights and remedies available hereunder to the parties hereto, and, in particular but without limitation, the </w:t>
      </w:r>
      <w:r w:rsidRPr="00B90315">
        <w:t xml:space="preserve">warranties, guarantees and obligations imposed upon Contractor by the </w:t>
      </w:r>
      <w:r>
        <w:t xml:space="preserve">Contract Documents </w:t>
      </w:r>
      <w:r w:rsidRPr="00B90315">
        <w:t>and amendments thereto; and all of the rights and remedies available to District and Architect thereunder, are in addition to, and are not to be construed in any way a</w:t>
      </w:r>
      <w:r w:rsidRPr="00B90315">
        <w:t>s a limi</w:t>
      </w:r>
      <w:r>
        <w:t>tation of</w:t>
      </w:r>
      <w:r w:rsidRPr="00B90315">
        <w:t xml:space="preserve"> any rights and remedies available to any or all of them which are otherwise imposed or available by laws or regulations by special warranty or guarantee or by other provisions of the Contract Documents, and the provisions of this Article </w:t>
      </w:r>
      <w:r w:rsidRPr="00B90315">
        <w:t>will be as effective as if repeated specifically in the Contract Documents in connection with each particular duty, obligation, right and remedy to which they apply</w:t>
      </w:r>
      <w:r>
        <w:t xml:space="preserve">. </w:t>
      </w:r>
    </w:p>
    <w:p w:rsidR="00E4078C" w:rsidRDefault="009760CB">
      <w:pPr>
        <w:pStyle w:val="Heading1"/>
      </w:pPr>
      <w:bookmarkStart w:id="154" w:name="_Toc256000023"/>
      <w:bookmarkStart w:id="155" w:name="_Toc365549834"/>
      <w:bookmarkStart w:id="156" w:name="_Toc472525902"/>
      <w:bookmarkStart w:id="157" w:name="_Ref472589388"/>
      <w:bookmarkStart w:id="158" w:name="_Ref472595863"/>
      <w:bookmarkStart w:id="159" w:name="_Ref472596014"/>
      <w:r>
        <w:t>MAINTENANCE OF RECORDS; AUDIT/OWNERSHIP OF DOCUMENTS</w:t>
      </w:r>
      <w:bookmarkEnd w:id="154"/>
      <w:bookmarkEnd w:id="155"/>
      <w:bookmarkEnd w:id="156"/>
      <w:bookmarkEnd w:id="157"/>
      <w:bookmarkEnd w:id="158"/>
      <w:bookmarkEnd w:id="159"/>
    </w:p>
    <w:p w:rsidR="00E4078C" w:rsidRDefault="009760CB">
      <w:pPr>
        <w:pStyle w:val="Heading2"/>
      </w:pPr>
      <w:r>
        <w:rPr>
          <w:u w:val="single"/>
        </w:rPr>
        <w:t>State Audit.</w:t>
      </w:r>
      <w:r>
        <w:t xml:space="preserve">  Pursuant to and in acc</w:t>
      </w:r>
      <w:r>
        <w:t xml:space="preserve">ordance with the provisions of Government Code § 10532, or any amendments thereto, all books, records, and files of the District, the Contractor, or any Subcontractor connected with the performance of this Contract involving the expenditure of state funds </w:t>
      </w:r>
      <w:r>
        <w:t xml:space="preserve">in excess of Ten Thousand Dollars ($10,000.00), including, but not limited to, the administration thereof, shall be subject to the examination and audit of the Office of the Auditor General of the State of California for a period of five (5) years after </w:t>
      </w:r>
      <w:r>
        <w:t>Re</w:t>
      </w:r>
      <w:r>
        <w:t xml:space="preserve">tention Payment </w:t>
      </w:r>
      <w:r>
        <w:t>is made or a Notice of Completion is Recorded, whichever occurs first.  Contractor shall preserve and cause to be preserved such books, records, hard drives, electronic media, and files for the audit period.</w:t>
      </w:r>
    </w:p>
    <w:p w:rsidR="00E4078C" w:rsidRDefault="009760CB">
      <w:pPr>
        <w:pStyle w:val="Heading2"/>
      </w:pPr>
      <w:r>
        <w:rPr>
          <w:u w:val="single"/>
        </w:rPr>
        <w:lastRenderedPageBreak/>
        <w:t>District Audit.</w:t>
      </w:r>
      <w:r w:rsidRPr="001E2595">
        <w:t xml:space="preserve"> </w:t>
      </w:r>
      <w:r>
        <w:t xml:space="preserve"> Pursuant to the</w:t>
      </w:r>
      <w:r>
        <w:t xml:space="preserve"> remedies under Public Contract Code </w:t>
      </w:r>
      <w:r>
        <w:t>s</w:t>
      </w:r>
      <w:r>
        <w:t xml:space="preserve">ection 9201 and Government Code </w:t>
      </w:r>
      <w:r>
        <w:t>section</w:t>
      </w:r>
      <w:r>
        <w:t xml:space="preserve"> 930.2, Contractor, through execution of this Agreement, also agrees the District shall have the right to review and audit, upon reasonable notice, the books and records of the Co</w:t>
      </w:r>
      <w:r>
        <w:t>ntractor concerning any monies associated with the Project.  The purpose of this Audit is to quickly and efficiently resolve disputes based on the actual costs incurred and to reduce the uncertainty in resolving disputes with limited information.  The Dist</w:t>
      </w:r>
      <w:r>
        <w:t>rict shall perform any audits at its own cost and any such audit shall be performed by an independent auditor, having no direct or indirect relationship with the functions or activities being audited or with the business conducted by the Contractor or Dist</w:t>
      </w:r>
      <w:r>
        <w:t>rict.  In the even</w:t>
      </w:r>
      <w:r>
        <w:t>t</w:t>
      </w:r>
      <w:r>
        <w:t xml:space="preserve"> the independent auditor determines that Change Orders, Response to Request for Proposals, Claims, Appeal of Claims, or other requests for payment the Auditor shall report the results of the Audit findings to the District and provide a c</w:t>
      </w:r>
      <w:r>
        <w:t xml:space="preserve">opy to the Contractor after giving the District Board the opportunity for at least 10 days review.  If the Contractor disputes the findings of the independent auditor, such dispute shall be handled in the manner set forth under Article </w:t>
      </w:r>
      <w:r>
        <w:t>20</w:t>
      </w:r>
      <w:r>
        <w:t xml:space="preserve"> entitled Disputes</w:t>
      </w:r>
      <w:r>
        <w:t xml:space="preserve">. </w:t>
      </w:r>
    </w:p>
    <w:p w:rsidR="00E4078C" w:rsidRDefault="009760CB">
      <w:pPr>
        <w:pStyle w:val="Heading2"/>
      </w:pPr>
      <w:r>
        <w:rPr>
          <w:u w:val="single"/>
        </w:rPr>
        <w:t>Failure to Produce Books or Records.</w:t>
      </w:r>
      <w:r w:rsidRPr="001E2595">
        <w:t xml:space="preserve">  </w:t>
      </w:r>
      <w:r>
        <w:t xml:space="preserve"> </w:t>
      </w:r>
      <w:r>
        <w:t>If Contractor having agreed to the terms of this Contract fails to produce books or records requested by Auditor, such failure to produce books or records that were required to be preserved for audit, it shall be p</w:t>
      </w:r>
      <w:r>
        <w:t>resumed that the information contained in the withheld books or records were unfavorable to the Contractor and the Auditor shall note this refusal in the results of the Audit findings for further evaluation by the District and the District’s Board.  The re</w:t>
      </w:r>
      <w:r>
        <w:t>fusal to release records that are concerning monies associated with the Project may be used as a grounds to Debar the Contractor from future Projects for failure to preserve records under this Article and the failure to produce required audit records may a</w:t>
      </w:r>
      <w:r>
        <w:t xml:space="preserve">lso be used as a grounds for a negative finding against the Contractor depending on the significance of the records that are withheld by Contractor.  Failure to produce Job Cost Data tied to Job cost categories and budgets shall be presumed an intentional </w:t>
      </w:r>
      <w:r>
        <w:t xml:space="preserve">failure to produce key audit records.  Similarly, failure to produce daily time records (prepared at or near the time of the Work actually took place shall be presumed an intentional failure to produce key audited records. </w:t>
      </w:r>
    </w:p>
    <w:p w:rsidR="00E4078C" w:rsidRDefault="009760CB">
      <w:pPr>
        <w:pStyle w:val="Heading2"/>
      </w:pPr>
      <w:r>
        <w:rPr>
          <w:u w:val="single"/>
        </w:rPr>
        <w:t>Inefficiency, Acceleration or De</w:t>
      </w:r>
      <w:r>
        <w:rPr>
          <w:u w:val="single"/>
        </w:rPr>
        <w:t>lay Claims.</w:t>
      </w:r>
      <w:r>
        <w:t xml:space="preserve">  If Contractor is seeking costs for inefficiency, home office overhead, or unanticipated increased costs due to delays or acceleration, Contractor shall also produce copies of the original bid </w:t>
      </w:r>
      <w:r>
        <w:t xml:space="preserve">or cost </w:t>
      </w:r>
      <w:r>
        <w:t xml:space="preserve">tabulation utilized in submitting </w:t>
      </w:r>
      <w:r>
        <w:t>Contractor</w:t>
      </w:r>
      <w:r>
        <w:t>’</w:t>
      </w:r>
      <w:r>
        <w:t xml:space="preserve">s </w:t>
      </w:r>
      <w:r>
        <w:t xml:space="preserve">cost </w:t>
      </w:r>
      <w:r>
        <w:t xml:space="preserve">for the Project.  This document shall be considered confidential and shall not be subject to disclosure through a Public Records Act and shall not be distributed to anyone other than the District and the District’s counsel.  This bid </w:t>
      </w:r>
      <w:r>
        <w:t>or c</w:t>
      </w:r>
      <w:r>
        <w:t xml:space="preserve">ost </w:t>
      </w:r>
      <w:r>
        <w:t>tabulation shall only be used in litigation, arbitration, evaluation of Claims or Disputes, Audit, and trial.  If the records for the bid</w:t>
      </w:r>
      <w:r w:rsidRPr="00084940">
        <w:t xml:space="preserve"> </w:t>
      </w:r>
      <w:r>
        <w:t>or cost</w:t>
      </w:r>
      <w:r>
        <w:t xml:space="preserve"> tabulation are kept on a computer, the Contractor shall also produce all metadata (in native format) that </w:t>
      </w:r>
      <w:r>
        <w:t xml:space="preserve">accompanies the bid </w:t>
      </w:r>
      <w:r>
        <w:t xml:space="preserve">or cost </w:t>
      </w:r>
      <w:r>
        <w:t xml:space="preserve">tabulation for inspection to prove the authenticity of the underlying bid </w:t>
      </w:r>
      <w:r>
        <w:t xml:space="preserve">or cost </w:t>
      </w:r>
      <w:r>
        <w:t xml:space="preserve">tabulation.  Failure to produce the bid </w:t>
      </w:r>
      <w:r>
        <w:t xml:space="preserve">or cost </w:t>
      </w:r>
      <w:r>
        <w:t xml:space="preserve">tabulation for review of inefficiency, home office overhead, or unanticipated increased costs due </w:t>
      </w:r>
      <w:r>
        <w:t xml:space="preserve">to delays or accelerations shall be considered material evidence that the bid </w:t>
      </w:r>
      <w:r>
        <w:t xml:space="preserve">or cost </w:t>
      </w:r>
      <w:r>
        <w:t xml:space="preserve">tabulation was not favorable to the Contractor.  This evidence shall be entered as a jury instruction for trial that the bid </w:t>
      </w:r>
      <w:r>
        <w:t xml:space="preserve">or cost </w:t>
      </w:r>
      <w:r>
        <w:t>tabulation was not produced and the b</w:t>
      </w:r>
      <w:r>
        <w:t xml:space="preserve">id </w:t>
      </w:r>
      <w:r>
        <w:t xml:space="preserve">or cost </w:t>
      </w:r>
      <w:r>
        <w:t>tabulation information was unfavorable to the Contractor.  The evidence may also be used in Debarment Proceedings, and noted as an exception to an Audit Findings.</w:t>
      </w:r>
    </w:p>
    <w:p w:rsidR="00E4078C" w:rsidRDefault="009760CB">
      <w:pPr>
        <w:pStyle w:val="Heading2"/>
      </w:pPr>
      <w:r>
        <w:t>Upon notification of Contractor concerning the results of the audit and a reasonab</w:t>
      </w:r>
      <w:r>
        <w:t>le time has passed for Contractor to respond to Audit Findings and if either there is no Dispute of the Audit findings under this Article or if the result after utilizing the Disputes Clause confirms the Audit findings, the District may seek any Savings th</w:t>
      </w:r>
      <w:r>
        <w:t>at have not been accounted for with District and may also seek reimbursement for overstated Claims, Change Orders, or Appeal of Claims.</w:t>
      </w:r>
    </w:p>
    <w:p w:rsidR="00E4078C" w:rsidRDefault="009760CB">
      <w:pPr>
        <w:pStyle w:val="Heading2"/>
      </w:pPr>
      <w:r>
        <w:rPr>
          <w:u w:val="single"/>
        </w:rPr>
        <w:t>Ownership of Drawings.</w:t>
      </w:r>
      <w:r>
        <w:t xml:space="preserve"> Notwithstanding any provision of this Agreement, all drawings, specifications, and copies thereof</w:t>
      </w:r>
      <w:r>
        <w:t xml:space="preserve"> furnished by District are its property.  They are not to be used on other work and with exception of signed contract sets, are to be returned to District on request at completion of work.  </w:t>
      </w:r>
    </w:p>
    <w:p w:rsidR="00E4078C" w:rsidRDefault="009760CB">
      <w:pPr>
        <w:pStyle w:val="Heading1"/>
      </w:pPr>
      <w:bookmarkStart w:id="160" w:name="_Toc256000024"/>
      <w:bookmarkStart w:id="161" w:name="_Toc365549835"/>
      <w:bookmarkStart w:id="162" w:name="_Toc472525903"/>
      <w:r>
        <w:lastRenderedPageBreak/>
        <w:t>PREVAILING RATES OF WAGES; RECORDS, APPRENTICES</w:t>
      </w:r>
      <w:bookmarkEnd w:id="160"/>
      <w:bookmarkEnd w:id="161"/>
      <w:bookmarkEnd w:id="162"/>
    </w:p>
    <w:p w:rsidR="00611E03" w:rsidRDefault="009760CB" w:rsidP="00127C49">
      <w:pPr>
        <w:pStyle w:val="Heading2"/>
      </w:pPr>
      <w:r w:rsidRPr="000F166B">
        <w:t>Wage Rates.  Cont</w:t>
      </w:r>
      <w:r w:rsidRPr="000F166B">
        <w:t xml:space="preserve">ractor acknowledges that this Project is funded with federal funds.  Pursuant to Federal Rules, when federal funds are expended by the District, Contractor, and its consultants and subcontractors, are subject to the requirements of the federal Davis-Bacon </w:t>
      </w:r>
      <w:r w:rsidRPr="000F166B">
        <w:t>Act (40 U.S.C. 3141 et seq.) as well as the applicable California prevailing wage laws and requirements.  Contractor understands and acknowledges that the provisions of the Davis Bacon Act set forth specific requirements regarding the wage rates payable to</w:t>
      </w:r>
      <w:r w:rsidRPr="000F166B">
        <w:t xml:space="preserve"> laborers employed on the Project.  Contractor further acknowledges that certain California Labor Code sections are applicable to the Project in conjunction with the Davis-Bacon Act.  Contractor certifies that it understands the requirements of the Davis-B</w:t>
      </w:r>
      <w:r w:rsidRPr="000F166B">
        <w:t>acon Act and will assure compliance with all applicable Federal, State, County, City and local wage laws for all Project activities. Contractor shall be solely responsible for complying with any prevailing wage requirements applicable to the services to be</w:t>
      </w:r>
      <w:r w:rsidRPr="000F166B">
        <w:t xml:space="preserve"> provided by the Contractor and subcontractors pursuant to this Agreement.  Contractor shall defend, indemnify and hold District harmless from and against any and all claims, liabilities, losses, damages, including without limitation, any and all reasonabl</w:t>
      </w:r>
      <w:r w:rsidRPr="000F166B">
        <w:t>e attorney’s fees, costs, awards, fines, penalties or judgments, arising from Contractor’s or subcontractors failure or alleged failure, to comply with any applicable Federal, State, County, City or local prevailing wage laws, including any claims or alleg</w:t>
      </w:r>
      <w:r w:rsidRPr="000F166B">
        <w:t>ations made or brought by any governmental agency or instrumentality.   The Contractor shall post a copy of applicable wage rates at appropriate, conspicuous, weatherproof points at the Site and shall provide copies of the applicable rates to the District</w:t>
      </w:r>
      <w:r>
        <w:t>.</w:t>
      </w:r>
      <w:r>
        <w:t xml:space="preserve"> </w:t>
      </w:r>
    </w:p>
    <w:p w:rsidR="00E4078C" w:rsidRDefault="009760CB" w:rsidP="007A2867">
      <w:pPr>
        <w:pStyle w:val="Heading2"/>
        <w:numPr>
          <w:ilvl w:val="0"/>
          <w:numId w:val="0"/>
        </w:numPr>
        <w:ind w:left="1440"/>
      </w:pPr>
      <w:r>
        <w:t>Any worker employed to perform Work on the Project, but such Work is not covered by any classification listed in the published general prevailing wage rate determinations or per diem wages determined by the Director of the Department of Industrial Relati</w:t>
      </w:r>
      <w:r>
        <w:t>ons</w:t>
      </w:r>
      <w:r>
        <w:t xml:space="preserve"> or the Davis-Bacon Act</w:t>
      </w:r>
      <w:r>
        <w:t>, shall be paid not less than the minimum rate of wages specified therein for the classification which most nearly corresponds to the employment of such person in such classification.</w:t>
      </w:r>
    </w:p>
    <w:p w:rsidR="00E4078C" w:rsidRDefault="009760CB">
      <w:pPr>
        <w:pStyle w:val="Heading2"/>
      </w:pPr>
      <w:r>
        <w:rPr>
          <w:u w:val="single"/>
        </w:rPr>
        <w:t>Holiday and Overtime Pay</w:t>
      </w:r>
      <w:r>
        <w:t>.  Holiday and overtim</w:t>
      </w:r>
      <w:r>
        <w:t xml:space="preserve">e work, when permitted by law, shall be paid for at the rate set forth in the prevailing wage rate determinations issued by the Director of the Department of Industrial Relations or at least one and one-half (1½) times the specified basic rate of per diem </w:t>
      </w:r>
      <w:r>
        <w:t>wages, plus employer payments, unless otherwise specified in the Contract Documents or authorized by law</w:t>
      </w:r>
    </w:p>
    <w:p w:rsidR="00E4078C" w:rsidRDefault="009760CB">
      <w:pPr>
        <w:pStyle w:val="Heading2"/>
      </w:pPr>
      <w:r>
        <w:rPr>
          <w:u w:val="single"/>
        </w:rPr>
        <w:t xml:space="preserve">Wage Rates Not Affected by Subcontracts. </w:t>
      </w:r>
      <w:r>
        <w:t xml:space="preserve"> The Contractor shall pay and shall cause to be paid each worker engaged in the execution of the Work on the P</w:t>
      </w:r>
      <w:r>
        <w:t>roject not less than the general prevailing rate of per diem wages determined by the Director, regardless of any contractual relationship which may be alleged to exist between the Contractor or any Subcontractor and such workers.</w:t>
      </w:r>
    </w:p>
    <w:p w:rsidR="00E4078C" w:rsidRDefault="009760CB">
      <w:pPr>
        <w:pStyle w:val="Heading2"/>
      </w:pPr>
      <w:r>
        <w:rPr>
          <w:u w:val="single"/>
        </w:rPr>
        <w:t xml:space="preserve">Per Diem Wages. </w:t>
      </w:r>
      <w:r>
        <w:t xml:space="preserve"> The Contr</w:t>
      </w:r>
      <w:r>
        <w:t xml:space="preserve">actor shall pay and shall cause to be paid to each worker needed to execute the Work on the Project per diem wages including, but not limited to, employer payments for health and welfare, pensions, vacation, travel time and subsistence pay as provided for </w:t>
      </w:r>
      <w:r>
        <w:t>in Labor Code §1773.1.</w:t>
      </w:r>
    </w:p>
    <w:p w:rsidR="00E4078C" w:rsidRDefault="009760CB">
      <w:pPr>
        <w:pStyle w:val="Heading2"/>
      </w:pPr>
      <w:r>
        <w:rPr>
          <w:u w:val="single"/>
        </w:rPr>
        <w:t>Forfeiture and Payments.</w:t>
      </w:r>
      <w:r>
        <w:t xml:space="preserve">  Pursuant to Labor Code §1775, the Contractor shall forfeit to the District, not more than Two Hundred Dollars ($200.00) for each calendar day, or portion thereof, for each worker paid less than the prevailin</w:t>
      </w:r>
      <w:r>
        <w:t>g wages rates as determined by the Director of the Department of Industrial Relations, for the work or craft in which the worker is employed for any Work done under the Agreement by the Contractor or by any Subcontractor under it.  The amount of the penalt</w:t>
      </w:r>
      <w:r>
        <w:t>y shall be determined by the Labor Commissioner and shall be based on consideration of: (1) whether the Contractor or Subcontractor’s failure to pay the correct rate of per diem wages was a good faith mistake and, if so, the error was promptly and voluntar</w:t>
      </w:r>
      <w:r>
        <w:t>ily correct upon being brought to the attention of the Contractor or Subcontractor; and (2) whether the Contractor or Subcontractor has a prior record of failing to meet its prevailing wage obligations.</w:t>
      </w:r>
    </w:p>
    <w:p w:rsidR="00E4078C" w:rsidRDefault="009760CB">
      <w:pPr>
        <w:pStyle w:val="Heading1"/>
      </w:pPr>
      <w:bookmarkStart w:id="163" w:name="_Toc256000025"/>
      <w:bookmarkStart w:id="164" w:name="_Toc365549836"/>
      <w:bookmarkStart w:id="165" w:name="_Toc472525904"/>
      <w:r>
        <w:lastRenderedPageBreak/>
        <w:t>RECORDS OF WAGES PAID</w:t>
      </w:r>
      <w:bookmarkEnd w:id="163"/>
      <w:bookmarkEnd w:id="164"/>
      <w:bookmarkEnd w:id="165"/>
    </w:p>
    <w:p w:rsidR="00E4078C" w:rsidRDefault="009760CB">
      <w:pPr>
        <w:pStyle w:val="Heading2"/>
        <w:rPr>
          <w:u w:val="single"/>
        </w:rPr>
      </w:pPr>
      <w:r>
        <w:rPr>
          <w:u w:val="single"/>
        </w:rPr>
        <w:t>Payroll Records</w:t>
      </w:r>
    </w:p>
    <w:p w:rsidR="00E4078C" w:rsidRDefault="009760CB">
      <w:pPr>
        <w:pStyle w:val="Heading3"/>
      </w:pPr>
      <w:r>
        <w:t>Pursuant to §17</w:t>
      </w:r>
      <w:r>
        <w:t>76 of the Labor Code, each Contractor and Subcontractor shall keep an accurate payroll record showing the name, address, social security number, work classification and straight time and overtime hours worked each day and week, and the actual per diem wage</w:t>
      </w:r>
      <w:r>
        <w:t>s paid to each journeyman, apprentice, worker or other employee employed by him or her in connection with the Project.</w:t>
      </w:r>
    </w:p>
    <w:p w:rsidR="00E4078C" w:rsidRDefault="009760CB">
      <w:pPr>
        <w:pStyle w:val="Heading3"/>
      </w:pPr>
      <w:r>
        <w:t xml:space="preserve">All payroll records shall be certified and submitted to the District </w:t>
      </w:r>
      <w:r>
        <w:t xml:space="preserve">with each application for payment, but </w:t>
      </w:r>
      <w:r>
        <w:t xml:space="preserve">not </w:t>
      </w:r>
      <w:r>
        <w:t>less than once per month</w:t>
      </w:r>
      <w:r>
        <w:t xml:space="preserve"> or as otherwise requested by the District</w:t>
      </w:r>
      <w:r>
        <w:t>.  All payroll records shall be available for inspection at all reasonable hours at the principal office of the Contractor on the following basis:</w:t>
      </w:r>
    </w:p>
    <w:p w:rsidR="00E4078C" w:rsidRDefault="009760CB">
      <w:pPr>
        <w:pStyle w:val="Heading3"/>
      </w:pPr>
      <w:r>
        <w:t>A certified copy of an employee’s payroll record shall be made avai</w:t>
      </w:r>
      <w:r>
        <w:t>lable for inspection or furnished to the employee or his or her authorized representative on request.</w:t>
      </w:r>
    </w:p>
    <w:p w:rsidR="00E4078C" w:rsidRDefault="009760CB">
      <w:pPr>
        <w:pStyle w:val="Heading3"/>
      </w:pPr>
      <w:r>
        <w:t xml:space="preserve">A certified copy of all payroll records shall be made available for inspection or furnished upon request to a representative of District, the Division of </w:t>
      </w:r>
      <w:r>
        <w:t>Labor Standards Enforcement or the Division of Apprenticeship Standards of the Department of Industrial Relations.</w:t>
      </w:r>
    </w:p>
    <w:p w:rsidR="00E4078C" w:rsidRDefault="009760CB">
      <w:pPr>
        <w:pStyle w:val="Heading3"/>
      </w:pPr>
      <w:r>
        <w:t xml:space="preserve">A certified copy of all payroll records shall be made available upon request by the public for inspection or for copies thereof.  However, a </w:t>
      </w:r>
      <w:r>
        <w:t>request by the public shall be made through the District, the Division of Apprenticeship Standards or the Division of Labor Standards Enforcement.  If the requested payroll records have not been provided pursuant to Paragraph (2) above, the requesting part</w:t>
      </w:r>
      <w:r>
        <w:t>y shall, prior to being provided the records, reimburse the costs, according to law for the preparation by the Contractor, Subcontractor(s), and the entity through which the request was made.  The public shall not be given access to such records at the pri</w:t>
      </w:r>
      <w:r>
        <w:t>ncipal office of the Contractor.</w:t>
      </w:r>
    </w:p>
    <w:p w:rsidR="00E4078C" w:rsidRDefault="009760CB">
      <w:pPr>
        <w:pStyle w:val="Heading3"/>
      </w:pPr>
      <w:r>
        <w:t>Unless required to be furnished directly to the Labor Commissioner in accordance with Labor Code section 1771.4, t</w:t>
      </w:r>
      <w:r>
        <w:t>he certified payroll records shall be on forms provided by the Division of Labor Standards Enforcement or sha</w:t>
      </w:r>
      <w:r>
        <w:t>ll contain the same information as the forms provided by the Division of Labor Standards Enforcement.</w:t>
      </w:r>
    </w:p>
    <w:p w:rsidR="00E4078C" w:rsidRDefault="009760CB">
      <w:pPr>
        <w:pStyle w:val="Heading3"/>
      </w:pPr>
      <w:r>
        <w:t xml:space="preserve">The Contractor or Subcontractor(s) shall file a certified copy of all payroll records with the entity that requested such records within 10 calendar days </w:t>
      </w:r>
      <w:r>
        <w:t>after receipt of a written request.</w:t>
      </w:r>
    </w:p>
    <w:p w:rsidR="00E4078C" w:rsidRDefault="009760CB">
      <w:pPr>
        <w:pStyle w:val="Heading3"/>
      </w:pPr>
      <w:r>
        <w:t>Any copy of records made available for inspection as copies and furnished upon request to the public or any public agency by the District, the Division of Apprenticeship Standards or the Division of Labor Standards Enfor</w:t>
      </w:r>
      <w:r>
        <w:t>cement shall be marked or obliterated to prevent disclosure of an individual’s name, address and social security number.  The name and address of the Contractor awarded the Contract or the Subcontractor(s) performing the Contract shall not be marked or obl</w:t>
      </w:r>
      <w:r>
        <w:t xml:space="preserve">iterated.  Any copy of records made available for inspection by, or furnished to, a joint labor-management committee established pursuant to the federal Labor Management Cooperation Act of 1978 (Section 175a of Title 29 of the United States Code) shall be </w:t>
      </w:r>
      <w:r>
        <w:t>marked or obliterated only to prevent disclosure of an individual’s name and social security number.  Notwithstanding any other provision of law, agencies that are included in the Joint Enforcement Strike Force on the Underground Economy established pursua</w:t>
      </w:r>
      <w:r>
        <w:t xml:space="preserve">nt to Section 329 of the Unemployment Insurance Code and other </w:t>
      </w:r>
      <w:r>
        <w:lastRenderedPageBreak/>
        <w:t>law enforcement agencies investigating violations of law shall, upon request, be provided non-redacted copies of certified payroll records.</w:t>
      </w:r>
    </w:p>
    <w:p w:rsidR="00E4078C" w:rsidRDefault="009760CB">
      <w:pPr>
        <w:pStyle w:val="Heading3"/>
      </w:pPr>
      <w:r>
        <w:t>The Contractor shall inform the District of the locat</w:t>
      </w:r>
      <w:r>
        <w:t>ion of all payroll records, including the street address, city and county, and shall, within five working days, provide a notice of a change of location and address.</w:t>
      </w:r>
    </w:p>
    <w:p w:rsidR="00E4078C" w:rsidRDefault="009760CB" w:rsidP="00652DB0">
      <w:pPr>
        <w:pStyle w:val="Heading3"/>
      </w:pPr>
      <w:r>
        <w:t xml:space="preserve">The Contractor or Subcontractor(s) shall have </w:t>
      </w:r>
      <w:r>
        <w:t>ten (</w:t>
      </w:r>
      <w:r>
        <w:t>10</w:t>
      </w:r>
      <w:r>
        <w:t>)</w:t>
      </w:r>
      <w:r>
        <w:t xml:space="preserve"> calendar days in which to comply subsequent to receipt of a written notice requesting payroll records.  In the event that the Contractor or Subcontractor(s) fails to comply within the 10-day period, the Contractor or Subcontractor(s) shall, as a penalty t</w:t>
      </w:r>
      <w:r>
        <w:t>o the District, forfeit One Hundred Dollars ($100.00) for each calendar day, or portion thereof, for each worker, until strict compliance is effectuated.  Upon the request of the Division of Apprenticeship Standards or the Division of Labor Standards Enfor</w:t>
      </w:r>
      <w:r>
        <w:t xml:space="preserve">cement, these penalties shall be withheld from </w:t>
      </w:r>
      <w:r w:rsidRPr="00652DB0">
        <w:t>Progress Payments or Retention Payment then due</w:t>
      </w:r>
      <w:r>
        <w:t>.</w:t>
      </w:r>
    </w:p>
    <w:p w:rsidR="00E4078C" w:rsidRDefault="009760CB">
      <w:pPr>
        <w:pStyle w:val="Heading3"/>
      </w:pPr>
      <w:r>
        <w:t>Responsibility for compliance with this Article shall rest upon the Contractor.</w:t>
      </w:r>
    </w:p>
    <w:p w:rsidR="00E4078C" w:rsidRDefault="009760CB">
      <w:pPr>
        <w:pStyle w:val="Heading2"/>
        <w:rPr>
          <w:u w:val="single"/>
        </w:rPr>
      </w:pPr>
      <w:r>
        <w:rPr>
          <w:u w:val="single"/>
        </w:rPr>
        <w:t>Withholding of Payments &amp; Penalties</w:t>
      </w:r>
    </w:p>
    <w:p w:rsidR="00E4078C" w:rsidRDefault="009760CB">
      <w:pPr>
        <w:pStyle w:val="Heading3"/>
      </w:pPr>
      <w:r>
        <w:t xml:space="preserve">The District may withhold or delay </w:t>
      </w:r>
      <w:r>
        <w:t xml:space="preserve">Progress </w:t>
      </w:r>
      <w:r>
        <w:t>Payment</w:t>
      </w:r>
      <w:r>
        <w:t xml:space="preserve">s to the Contractor or </w:t>
      </w:r>
      <w:r>
        <w:t>a Sublease Payment</w:t>
      </w:r>
      <w:r>
        <w:t xml:space="preserve"> or Retention</w:t>
      </w:r>
      <w:r>
        <w:t xml:space="preserve"> if:</w:t>
      </w:r>
    </w:p>
    <w:p w:rsidR="00E4078C" w:rsidRDefault="009760CB">
      <w:pPr>
        <w:pStyle w:val="Heading4"/>
      </w:pPr>
      <w:r>
        <w:t>The required prevailing rate of per diem wages determined by the Director of the Department of Industrial Relations is not paid to all workers employed on the Project; or</w:t>
      </w:r>
    </w:p>
    <w:p w:rsidR="00E4078C" w:rsidRDefault="009760CB">
      <w:pPr>
        <w:pStyle w:val="Heading4"/>
      </w:pPr>
      <w:r>
        <w:t>The Contractor or S</w:t>
      </w:r>
      <w:r>
        <w:t xml:space="preserve">ubcontractor(s) fail to submit all required certified payroll records </w:t>
      </w:r>
      <w:r>
        <w:t>with each application for payment</w:t>
      </w:r>
      <w:r>
        <w:t>, but not less than once per month; or</w:t>
      </w:r>
    </w:p>
    <w:p w:rsidR="00E4078C" w:rsidRDefault="009760CB">
      <w:pPr>
        <w:pStyle w:val="Heading4"/>
      </w:pPr>
      <w:r>
        <w:t>The Contractor or Subcontractor(s) submit incomplete or inadequate payroll records; or</w:t>
      </w:r>
    </w:p>
    <w:p w:rsidR="00E4078C" w:rsidRDefault="009760CB">
      <w:pPr>
        <w:pStyle w:val="Heading4"/>
      </w:pPr>
      <w:r>
        <w:t>The Contractor or Subcontra</w:t>
      </w:r>
      <w:r>
        <w:t>ctor(s) fail to comply with the Labor Code requirements concerning apprentices; or</w:t>
      </w:r>
    </w:p>
    <w:p w:rsidR="00E4078C" w:rsidRDefault="009760CB">
      <w:pPr>
        <w:pStyle w:val="Heading4"/>
      </w:pPr>
      <w:r>
        <w:t>The Contractor or Subcontractor(s) fail to comply with any applicable state laws governing workers on public works projects.</w:t>
      </w:r>
    </w:p>
    <w:p w:rsidR="00E4078C" w:rsidRDefault="009760CB">
      <w:pPr>
        <w:pStyle w:val="Heading1"/>
      </w:pPr>
      <w:bookmarkStart w:id="166" w:name="_Toc256000026"/>
      <w:bookmarkStart w:id="167" w:name="_Toc365549837"/>
      <w:bookmarkStart w:id="168" w:name="_Toc472525905"/>
      <w:r>
        <w:t>APPRENTICES</w:t>
      </w:r>
      <w:bookmarkEnd w:id="166"/>
      <w:bookmarkEnd w:id="167"/>
      <w:bookmarkEnd w:id="168"/>
    </w:p>
    <w:p w:rsidR="00E4078C" w:rsidRDefault="009760CB">
      <w:pPr>
        <w:pStyle w:val="Heading2"/>
      </w:pPr>
      <w:r>
        <w:rPr>
          <w:u w:val="single"/>
        </w:rPr>
        <w:t>Apprentice Wages and Definitions.</w:t>
      </w:r>
      <w:r>
        <w:t xml:space="preserve">  A</w:t>
      </w:r>
      <w:r>
        <w:t>ll apprentices employed by the Contractor to perform services under the Contract shall be paid the standard wage paid to apprentices under the regulations of the craft or trade for which he or she is employed, and as determined by the Director of the Depar</w:t>
      </w:r>
      <w:r>
        <w:t>tment of Industrial Relations, and shall be employed only at the craft or trade to which he or she is registered.  Only apprentices, as defined in §3077 of the Labor Code, who are in training under apprenticeship standards that have been approved by the Ch</w:t>
      </w:r>
      <w:r>
        <w:t>ief of the Division of Apprenticeship Standards and who are parties to written apprenticeship agreements under Chapter 4 (commencing with §3070) of Division 3, are eligible to be employed under this Contract.  The employment and training of each apprentice</w:t>
      </w:r>
      <w:r>
        <w:t xml:space="preserve"> shall be in accordance with the apprenticeship standards and apprentice agreements under which he or she is training, or in accordance with the rules and regulations of the California Apprenticeship Council.</w:t>
      </w:r>
    </w:p>
    <w:p w:rsidR="00E4078C" w:rsidRDefault="009760CB">
      <w:pPr>
        <w:pStyle w:val="Heading2"/>
      </w:pPr>
      <w:r>
        <w:rPr>
          <w:u w:val="single"/>
        </w:rPr>
        <w:t xml:space="preserve">Employment of Apprentices. </w:t>
      </w:r>
      <w:r>
        <w:t xml:space="preserve"> Contractor agrees t</w:t>
      </w:r>
      <w:r>
        <w:t xml:space="preserve">o comply with the requirements of Labor Code §1777.5.  The Contractor awarded the Project, or any Subcontractor under him or her, when performing any of the Work under the Contract or subcontract, employs workers in any </w:t>
      </w:r>
      <w:r>
        <w:lastRenderedPageBreak/>
        <w:t>apprenticeable craft or trade, the C</w:t>
      </w:r>
      <w:r>
        <w:t>ontractor and Subcontractor shall employ apprentices in the ratio set forth in Labor Code §1777.5.  The Contractor or any Subcontractor must apply to any apprenticeship program in the craft or trade that can provide apprentices to the Project site for a ce</w:t>
      </w:r>
      <w:r>
        <w:t>rtificate approving the contractor or subcontractor under the apprenticeship standards for the employment and training of apprentices in the area or industry affected.  However, the decision of the apprenticeship program to approve or deny a certificate sh</w:t>
      </w:r>
      <w:r>
        <w:t>all be subject to review by the Administrator of Apprenticeship.  The apprenticeship program or programs, upon approving the Contractor or Subcontractor, shall arrange for the dispatch of apprentices to the Contractor or Subcontractor upon the Contractor’s</w:t>
      </w:r>
      <w:r>
        <w:t xml:space="preserve"> or Subcontractor’s request.  “Apprenticeable craft or trade” as used in this Article means a craft or trade determined as an apprenticeable occupation in accordance with the rules and regulations prescribed by the California Apprenticeship Council.  The r</w:t>
      </w:r>
      <w:r>
        <w:t>atio of work performed by apprentices to journeyman employed in a particular craft or trade on the Project shall be in accordance with Labor Code §1777.5.</w:t>
      </w:r>
    </w:p>
    <w:p w:rsidR="00E4078C" w:rsidRDefault="009760CB">
      <w:pPr>
        <w:pStyle w:val="Heading2"/>
      </w:pPr>
      <w:r>
        <w:rPr>
          <w:u w:val="single"/>
        </w:rPr>
        <w:t>Submission of Contract Information.</w:t>
      </w:r>
      <w:r>
        <w:t xml:space="preserve">  Prior to commencing Work on the Project, the Contractor and Subc</w:t>
      </w:r>
      <w:r>
        <w:t>ontractors shall submit contract award information to the applicable apprenticeship program(s) that can supply apprentices to the Project and make the request for the dispatch of apprentices in accordance with the Labor Code.  The information submitted sha</w:t>
      </w:r>
      <w:r>
        <w:t>ll include an estimate of journeyman hours to be performed under the Contact, the number of apprentices proposed to be employed, and the approximate dates the apprentices would be employed.  A copy of this information shall also be submitted to the Distric</w:t>
      </w:r>
      <w:r>
        <w:t xml:space="preserve">t if requested.  Within </w:t>
      </w:r>
      <w:r>
        <w:t>sixty (</w:t>
      </w:r>
      <w:r>
        <w:t>60</w:t>
      </w:r>
      <w:r>
        <w:t>)</w:t>
      </w:r>
      <w:r>
        <w:t xml:space="preserve"> days after concluding Work on the Project, the Contractor and Subcontractors shall submit to the District, if requested, and to the apprenticeship program a verified statement of the journeyman and apprentice hours perfor</w:t>
      </w:r>
      <w:r>
        <w:t>med on the Project.</w:t>
      </w:r>
    </w:p>
    <w:p w:rsidR="00E4078C" w:rsidRDefault="009760CB">
      <w:pPr>
        <w:pStyle w:val="Heading2"/>
      </w:pPr>
      <w:r>
        <w:rPr>
          <w:u w:val="single"/>
        </w:rPr>
        <w:t>Apprentice Fund.</w:t>
      </w:r>
      <w:r>
        <w:t xml:space="preserve">  The Contractor or any Subcontractor under him or her, who, in performing any of the Work under the Contract, employs journeymen or apprentices in any apprenticeable craft or trade shall contribute to the California App</w:t>
      </w:r>
      <w:r>
        <w:t>renticeship Council the same amount that the Director determines is the prevailing amount of apprenticeship training contributions in the area of the Project.  The Contractor and Subcontractors may take as a credit for payments to the California Apprentice</w:t>
      </w:r>
      <w:r>
        <w:t xml:space="preserve">ship Council any amounts paid by the Contractor or Subcontractor to an approved apprenticeship program that can supply apprentices to the Project.  The Contractor and Subcontractors may add the amount of the contributions in computing </w:t>
      </w:r>
      <w:r>
        <w:t xml:space="preserve">its bid or costs </w:t>
      </w:r>
      <w:r>
        <w:t xml:space="preserve">for </w:t>
      </w:r>
      <w:r>
        <w:t>the Contract.</w:t>
      </w:r>
    </w:p>
    <w:p w:rsidR="00E4078C" w:rsidRDefault="009760CB">
      <w:pPr>
        <w:pStyle w:val="Heading2"/>
      </w:pPr>
      <w:r>
        <w:rPr>
          <w:u w:val="single"/>
        </w:rPr>
        <w:t>Prime Contractor Compliance.</w:t>
      </w:r>
      <w:r>
        <w:t xml:space="preserve">  The responsibility of compliance with </w:t>
      </w:r>
      <w:r>
        <w:t xml:space="preserve">this </w:t>
      </w:r>
      <w:r>
        <w:t>Article 13 §1777.5 of the Labor Code for all apprenticeable occupations is with the Prime Contractor.  Any Contractor or Subcontractor that knowingly violates the provis</w:t>
      </w:r>
      <w:r>
        <w:t>ions of this Article or Labor Code §1777.5 shall be subject to the penalties set forth in Labor Code §1777.7.</w:t>
      </w:r>
    </w:p>
    <w:p w:rsidR="00E4078C" w:rsidRDefault="009760CB">
      <w:pPr>
        <w:pStyle w:val="Heading2"/>
      </w:pPr>
      <w:r>
        <w:t>WHEN DETERMINING GMP, CONTRACTOR SHALL INCLUDE TO THE EXTENT POSSIBLE ANTICIPATED GENERAL PREVAILING WAGE RATES FOR THE TIME WHEN WORK ON THE PROJ</w:t>
      </w:r>
      <w:r>
        <w:t>ECT WILL ACTUALLY BE PERFORMED.</w:t>
      </w:r>
    </w:p>
    <w:p w:rsidR="00E4078C" w:rsidRDefault="009760CB">
      <w:pPr>
        <w:pStyle w:val="Heading1"/>
      </w:pPr>
      <w:bookmarkStart w:id="169" w:name="_Toc256000027"/>
      <w:bookmarkStart w:id="170" w:name="_Toc472525906"/>
      <w:r>
        <w:t>REGISTRATION WITH DEPARTMENT OF INDUSTRIAL RELATIONS</w:t>
      </w:r>
      <w:bookmarkEnd w:id="169"/>
      <w:bookmarkEnd w:id="170"/>
    </w:p>
    <w:p w:rsidR="00B03743" w:rsidRDefault="009760CB" w:rsidP="00B03743">
      <w:pPr>
        <w:pStyle w:val="Heading2"/>
      </w:pPr>
      <w:r>
        <w:t>Strict compliance with all DIR registration requirements in accordance with Labor Code sections 1725.5 and 1771.1 is a material obligation of the Contractor and all of its</w:t>
      </w:r>
      <w:r>
        <w:t xml:space="preserve"> subcontractors (of any tier) under the Contract Documents.  The foregoing includes, without limitation, compliance with DIR registration requirements at all times during performance of the Work by the Contractor and all of its subcontractors of any tier. </w:t>
      </w:r>
      <w:r>
        <w:t xml:space="preserve"> The failure of the Contractor and all subcontractors of any tier to be properly registered with DIR at all times during performance of the Work is a material breach of the Contract</w:t>
      </w:r>
      <w:r>
        <w:t xml:space="preserve"> Documents</w:t>
      </w:r>
      <w:r>
        <w:t xml:space="preserve"> and subject to termination for cause.</w:t>
      </w:r>
    </w:p>
    <w:p w:rsidR="001C2B34" w:rsidRDefault="009760CB" w:rsidP="00B03743">
      <w:pPr>
        <w:pStyle w:val="Heading2"/>
      </w:pPr>
      <w:r>
        <w:t>An affirmative and ongoing</w:t>
      </w:r>
      <w:r>
        <w:t xml:space="preserve"> obligation of the Contractor under the Contract Documents is the verification that all subcontractors of any tier are at all times during performance of the Work are </w:t>
      </w:r>
      <w:r>
        <w:lastRenderedPageBreak/>
        <w:t>in full and strict compliance with the DIR registration requirements.  The Contractor sha</w:t>
      </w:r>
      <w:r>
        <w:t>ll not permit or allow any subcontractor of any tier to perform any Work without the Contractor’s verification that all subcontractors are in full and strict compliance with the DIR registration requirements.  Any subcontractors of any tier not properly re</w:t>
      </w:r>
      <w:r>
        <w:t>gistered with DIR shall be substituted in accordance with Labor Code section 1771.1.  Contractor or its subcontractors of any tier shall not be entitled to any additional costs or time arising from or in any way related to compliance with the DIR registrat</w:t>
      </w:r>
      <w:r>
        <w:t>ion requirement</w:t>
      </w:r>
      <w:r>
        <w:t>s.</w:t>
      </w:r>
    </w:p>
    <w:p w:rsidR="001C2B34" w:rsidRDefault="009760CB" w:rsidP="001C2B34">
      <w:pPr>
        <w:pStyle w:val="Heading2"/>
      </w:pPr>
      <w:r>
        <w:t xml:space="preserve">The Contractor and all subcontractors shall furnish certified payroll records as required pursuant Labor Code section 1776 directly to the Labor Commissioner in accordance with Labor Code section 1771.4 on at least on a monthly basis (or </w:t>
      </w:r>
      <w:r>
        <w:t>more frequently if required by the District or the Labor Commissioner) and in a format prescribed by the Labor Commissioner.  The District reserves the right to withhold</w:t>
      </w:r>
      <w:r>
        <w:t xml:space="preserve"> </w:t>
      </w:r>
      <w:r>
        <w:t>Progress Payment</w:t>
      </w:r>
      <w:r>
        <w:t>s or</w:t>
      </w:r>
      <w:r>
        <w:t xml:space="preserve"> </w:t>
      </w:r>
      <w:r>
        <w:t xml:space="preserve">Retention </w:t>
      </w:r>
      <w:r>
        <w:t>P</w:t>
      </w:r>
      <w:r>
        <w:t>ayment</w:t>
      </w:r>
      <w:r>
        <w:t xml:space="preserve"> if the District is notified, or determines as the result of its own investigation, that Contractor is in violation of any of the requirements set forth in Labor Code section 1720 et seq. at no penalty or cost to the District.  Monitoring and enforcement o</w:t>
      </w:r>
      <w:r>
        <w:t>f the prevailing wage laws and related requirements will be performed by the Labor Commissioner/ Department of Labor Standards Enforcement (DLSE).</w:t>
      </w:r>
    </w:p>
    <w:p w:rsidR="001C2B34" w:rsidRDefault="009760CB" w:rsidP="001C2B34">
      <w:pPr>
        <w:pStyle w:val="Heading2"/>
      </w:pPr>
      <w:r>
        <w:t>The Labor Commissioner and the Division of Labor Standards Enforcement (DLSE)  may conduct various compliance</w:t>
      </w:r>
      <w:r>
        <w:t xml:space="preserve"> monitoring and enforcement activities including, but not limited to, confirming the accuracy of payroll records, conducting worker interviews, conducting audits, requiring submission of itemized statements prepared in accordance with Labor Code section 22</w:t>
      </w:r>
      <w:r>
        <w:t>6, and conducting random in-person inspections of the Project site ("On-Site Visits").  On-Site Visits may include inspections of records, inspections of the Work site and observation of work activities, interviews of workers and others involved with the P</w:t>
      </w:r>
      <w:r>
        <w:t>roject, and any other activities deemed necessary by the Labor Commissioner/DLSE to ensure compliance with prevailing wage requirements.  The Labor Commissioner/DLSE shall have free access to any construction site or other place of labor and may obtain any</w:t>
      </w:r>
      <w:r>
        <w:t xml:space="preserve"> information or statistics pertaining to the lawful duties of the Labor Commissioner/DLSE.</w:t>
      </w:r>
    </w:p>
    <w:p w:rsidR="001C2B34" w:rsidRDefault="009760CB" w:rsidP="001C2B34">
      <w:pPr>
        <w:pStyle w:val="Heading2"/>
      </w:pPr>
      <w:r>
        <w:t>Any lawful activities conducted or any requests made by the Labor Commissioner/DLSE shall not be the basis for any delays, claims, costs, damages or liability of any</w:t>
      </w:r>
      <w:r>
        <w:t xml:space="preserve"> kind against the District by the Contractor.  Contractor and all Subcontractors shall cooperate and comply with any lawful requests by the Labor Commissioner's office.  The failure of the Labor Commissioner, DLSE, or any other part of the Department of In</w:t>
      </w:r>
      <w:r>
        <w:t>dustrial Relations to comply with any requirement imposed by the California Code of Regulations, Title 8, Chapter 8 shall not of itself constitute a defense to the failure to pay prevailing wages or to comply with any other obligation imposed by Division 2</w:t>
      </w:r>
      <w:r>
        <w:t>, Part 7, Chapter 1 of the Labor Code.</w:t>
      </w:r>
    </w:p>
    <w:p w:rsidR="00E4078C" w:rsidRDefault="009760CB" w:rsidP="001C2B34">
      <w:pPr>
        <w:pStyle w:val="Heading2"/>
      </w:pPr>
      <w:r>
        <w:t xml:space="preserve">Prior to commencing any Work on the Project, the Contractor shall post the notice/poster required under </w:t>
      </w:r>
      <w:r>
        <w:t xml:space="preserve">the </w:t>
      </w:r>
      <w:r>
        <w:t>California Code of Regulations</w:t>
      </w:r>
      <w:r>
        <w:t xml:space="preserve"> and Labor Code section 1771.4 </w:t>
      </w:r>
      <w:r>
        <w:t>in both English and Spanish at a conspicuous, we</w:t>
      </w:r>
      <w:r>
        <w:t>atherproof area at the Project site.   The required notice/poster is available on the Labor Commissioner's website.</w:t>
      </w:r>
    </w:p>
    <w:p w:rsidR="00E4078C" w:rsidRDefault="009760CB">
      <w:pPr>
        <w:pStyle w:val="Heading1"/>
      </w:pPr>
      <w:bookmarkStart w:id="171" w:name="_Toc256000028"/>
      <w:bookmarkStart w:id="172" w:name="_Toc365549839"/>
      <w:bookmarkStart w:id="173" w:name="_Toc472525907"/>
      <w:r>
        <w:t>HOURS OF WORK</w:t>
      </w:r>
      <w:bookmarkEnd w:id="171"/>
      <w:bookmarkEnd w:id="172"/>
      <w:bookmarkEnd w:id="173"/>
    </w:p>
    <w:p w:rsidR="00E4078C" w:rsidRDefault="009760CB">
      <w:pPr>
        <w:pStyle w:val="Heading2"/>
      </w:pPr>
      <w:r>
        <w:t xml:space="preserve">Eight (8) hours of work shall constitute a legal day’s work.  The Contractor and each subcontractor shall forfeit, as penalty </w:t>
      </w:r>
      <w:r>
        <w:t>to the District, twenty five dollars ($25) for each worker employed in the execution of work on the Project by the Contractor or any subcontractor under him for each calendar day during which such worker is required or permitted to work more than eight (8)</w:t>
      </w:r>
      <w:r>
        <w:t xml:space="preserve"> hours in any one calendar day and forty (40) hours in any calendar week in violation of the provisions of the Labor Code, and in particular, Section 1810 to Section 1815, thereof, inclusive, except that work performed by employees of the Contractor and hi</w:t>
      </w:r>
      <w:r>
        <w:t>s subcontractors in excess of eight hours per day at not less than one and one half times the basic rate of pay, as provided in Labor Code section 1815.</w:t>
      </w:r>
    </w:p>
    <w:p w:rsidR="00E4078C" w:rsidRDefault="009760CB">
      <w:pPr>
        <w:pStyle w:val="Heading2"/>
      </w:pPr>
      <w:r>
        <w:lastRenderedPageBreak/>
        <w:t>Generally, construction work on the Project shall be accomplished on a regularly scheduled eight (8) ho</w:t>
      </w:r>
      <w:r>
        <w:t>ur per day work shift basis, Monday through Friday, between the hours of 7:00 a.m. and 5:00 p.m., however nothing herein shall prevent Contractor from working weekends and after school hours in order to complete the Project so long as not otherwise prohibi</w:t>
      </w:r>
      <w:r>
        <w:t>ted by law or local ordinances or regulations.</w:t>
      </w:r>
    </w:p>
    <w:p w:rsidR="00E4078C" w:rsidRDefault="009760CB">
      <w:pPr>
        <w:pStyle w:val="Heading2"/>
      </w:pPr>
      <w:r>
        <w:t>Any work necessary to be performed after regular working hours, or on Sundays or other holidays shall be performed and included within the GMP, unless otherwise agreed to in writing before the work in question</w:t>
      </w:r>
      <w:r>
        <w:t xml:space="preserve"> is commenced pursuant to </w:t>
      </w:r>
      <w:r>
        <w:t>Article</w:t>
      </w:r>
      <w:r>
        <w:t xml:space="preserve"> </w:t>
      </w:r>
      <w:r>
        <w:t>9</w:t>
      </w:r>
      <w:r>
        <w:t>, Extra Work/Modifications.</w:t>
      </w:r>
    </w:p>
    <w:p w:rsidR="00FA58C3" w:rsidRDefault="009760CB" w:rsidP="00FA58C3">
      <w:pPr>
        <w:pStyle w:val="Heading1"/>
      </w:pPr>
      <w:bookmarkStart w:id="174" w:name="_Toc256000029"/>
      <w:bookmarkStart w:id="175" w:name="_Toc472525908"/>
      <w:r>
        <w:t>SKILLED AND TRAINED WORKFORCE</w:t>
      </w:r>
      <w:bookmarkEnd w:id="174"/>
      <w:bookmarkEnd w:id="175"/>
    </w:p>
    <w:p w:rsidR="006C680A" w:rsidRDefault="009760CB" w:rsidP="006C680A">
      <w:pPr>
        <w:pStyle w:val="Heading2"/>
      </w:pPr>
      <w:r>
        <w:t>Contract</w:t>
      </w:r>
      <w:r>
        <w:t>or and all Subcontractors of any</w:t>
      </w:r>
      <w:r>
        <w:t xml:space="preserve"> tier must comply with the requirements set forth in Education Code section 17407.5</w:t>
      </w:r>
      <w:r>
        <w:t xml:space="preserve"> and Public Contract Code section</w:t>
      </w:r>
      <w:r>
        <w:t>s</w:t>
      </w:r>
      <w:r>
        <w:t xml:space="preserve"> 2601</w:t>
      </w:r>
      <w:r>
        <w:t xml:space="preserve"> </w:t>
      </w:r>
      <w:r>
        <w:t>and 2602</w:t>
      </w:r>
      <w:r>
        <w:t>,</w:t>
      </w:r>
      <w:r>
        <w:t xml:space="preserve"> including providing an enforceable commitment that the Contractor and all Subcontractors of  any tier will use a “Skilled and Trained Workforce” as defined in </w:t>
      </w:r>
      <w:r>
        <w:t xml:space="preserve">Public Contract </w:t>
      </w:r>
      <w:r>
        <w:t xml:space="preserve">Code section </w:t>
      </w:r>
      <w:r>
        <w:t>2601</w:t>
      </w:r>
      <w:r>
        <w:t>(</w:t>
      </w:r>
      <w:r>
        <w:t>d</w:t>
      </w:r>
      <w:r>
        <w:t>).</w:t>
      </w:r>
      <w:r>
        <w:t xml:space="preserve">  Contractor and all Subcontractors are to careful</w:t>
      </w:r>
      <w:r>
        <w:t xml:space="preserve">ly review all requirements set forth in Education Code section 17407.5 </w:t>
      </w:r>
      <w:r>
        <w:t>and Public Contract Code section</w:t>
      </w:r>
      <w:r>
        <w:t>s</w:t>
      </w:r>
      <w:r>
        <w:t xml:space="preserve"> 2601 </w:t>
      </w:r>
      <w:r>
        <w:t xml:space="preserve">and 2602 </w:t>
      </w:r>
      <w:r>
        <w:t>before entering into the Contract for the Project.</w:t>
      </w:r>
    </w:p>
    <w:p w:rsidR="00AF36A3" w:rsidRDefault="009760CB" w:rsidP="00AF36A3">
      <w:pPr>
        <w:pStyle w:val="Heading2"/>
      </w:pPr>
      <w:r>
        <w:t>The Contractor’s commitment that a Skilled and Trained Workforce will be used to perfo</w:t>
      </w:r>
      <w:r>
        <w:t>rm Work on the Project and the Contract shall be established by the following:</w:t>
      </w:r>
    </w:p>
    <w:p w:rsidR="00AF36A3" w:rsidRDefault="009760CB" w:rsidP="00AF36A3">
      <w:pPr>
        <w:pStyle w:val="Heading3"/>
      </w:pPr>
      <w:r>
        <w:t>Contractor shall include in all of its subcontracts, and Subcontractors shall require in its subcontracts of any tier, mandatory compliance with Education Code section 17407.5</w:t>
      </w:r>
      <w:r w:rsidRPr="00885928">
        <w:t xml:space="preserve"> </w:t>
      </w:r>
      <w:r>
        <w:t>a</w:t>
      </w:r>
      <w:r>
        <w:t>nd Public Contract Code section</w:t>
      </w:r>
      <w:r>
        <w:t>s</w:t>
      </w:r>
      <w:r>
        <w:t xml:space="preserve"> 2601</w:t>
      </w:r>
      <w:r>
        <w:t xml:space="preserve"> and 2602</w:t>
      </w:r>
      <w:r>
        <w:t>.</w:t>
      </w:r>
    </w:p>
    <w:p w:rsidR="001B2731" w:rsidRDefault="009760CB" w:rsidP="00EF596B">
      <w:pPr>
        <w:pStyle w:val="Heading3"/>
      </w:pPr>
      <w:r>
        <w:t xml:space="preserve">Contractor shall provide </w:t>
      </w:r>
      <w:r>
        <w:t xml:space="preserve">to the District’s Governing </w:t>
      </w:r>
      <w:r>
        <w:t xml:space="preserve">Board, on a monthly basis while </w:t>
      </w:r>
      <w:r>
        <w:t>the Project or Contract is being performed, a written report demonstrating that the Contractor and all Subcontractors of an</w:t>
      </w:r>
      <w:r>
        <w:t>y tier are complying with the requirements set forth in Education Code section 17407.5</w:t>
      </w:r>
      <w:r w:rsidRPr="00885928">
        <w:t xml:space="preserve"> </w:t>
      </w:r>
      <w:r>
        <w:t>and P</w:t>
      </w:r>
      <w:r>
        <w:t>ublic Contract Code section</w:t>
      </w:r>
      <w:r>
        <w:t>s</w:t>
      </w:r>
      <w:r>
        <w:t xml:space="preserve"> 260</w:t>
      </w:r>
      <w:r>
        <w:t>1 and 2602</w:t>
      </w:r>
      <w:r>
        <w:t xml:space="preserve">.  If the Contractor </w:t>
      </w:r>
      <w:r w:rsidRPr="00EF596B">
        <w:t xml:space="preserve">fails to provide the monthly report required </w:t>
      </w:r>
      <w:r>
        <w:t>herein</w:t>
      </w:r>
      <w:r w:rsidRPr="00EF596B">
        <w:t xml:space="preserve">, or provides a report that is incomplete, the </w:t>
      </w:r>
      <w:r>
        <w:t xml:space="preserve">District </w:t>
      </w:r>
      <w:r w:rsidRPr="00EF596B">
        <w:t xml:space="preserve">shall withhold further payments </w:t>
      </w:r>
      <w:r>
        <w:t>in accordance with Public Contract Code sections 2602 and 2603</w:t>
      </w:r>
      <w:r>
        <w:t xml:space="preserve">.  </w:t>
      </w:r>
      <w:r w:rsidRPr="00EF596B">
        <w:t xml:space="preserve">If a monthly report does not demonstrate compliance with </w:t>
      </w:r>
      <w:r>
        <w:t>Public Contract Code section</w:t>
      </w:r>
      <w:r>
        <w:t>s 2601 and 2602</w:t>
      </w:r>
      <w:r w:rsidRPr="00EF596B">
        <w:t xml:space="preserve">, the </w:t>
      </w:r>
      <w:r>
        <w:t xml:space="preserve">District </w:t>
      </w:r>
      <w:r>
        <w:t>shall withhold</w:t>
      </w:r>
      <w:r w:rsidRPr="00EF596B">
        <w:t xml:space="preserve"> </w:t>
      </w:r>
      <w:r>
        <w:t xml:space="preserve">further </w:t>
      </w:r>
      <w:r w:rsidRPr="00EF596B">
        <w:t>payments unt</w:t>
      </w:r>
      <w:r w:rsidRPr="00EF596B">
        <w:t xml:space="preserve">il the </w:t>
      </w:r>
      <w:r>
        <w:t>C</w:t>
      </w:r>
      <w:r w:rsidRPr="00EF596B">
        <w:t xml:space="preserve">ontractor provides a plan to achieve substantial compliance with </w:t>
      </w:r>
      <w:r>
        <w:t>Public Contract Code section</w:t>
      </w:r>
      <w:r>
        <w:t>s 2601 and 2602</w:t>
      </w:r>
      <w:r w:rsidRPr="00EF596B">
        <w:t>, with respect to the relevant apprenticeable occupation, prior to compl</w:t>
      </w:r>
      <w:r>
        <w:t>etion of the Project.</w:t>
      </w:r>
    </w:p>
    <w:p w:rsidR="00EA043A" w:rsidRDefault="009760CB" w:rsidP="00EA043A">
      <w:pPr>
        <w:pStyle w:val="Heading3"/>
      </w:pPr>
      <w:r w:rsidRPr="00EA043A">
        <w:t xml:space="preserve">The monthly report provided to the </w:t>
      </w:r>
      <w:r>
        <w:t xml:space="preserve">District’s </w:t>
      </w:r>
      <w:r>
        <w:t>G</w:t>
      </w:r>
      <w:r w:rsidRPr="00EA043A">
        <w:t xml:space="preserve">overning </w:t>
      </w:r>
      <w:r>
        <w:t>B</w:t>
      </w:r>
      <w:r w:rsidRPr="00EA043A">
        <w:t xml:space="preserve">oard </w:t>
      </w:r>
      <w:r>
        <w:t xml:space="preserve">as required above </w:t>
      </w:r>
      <w:r w:rsidRPr="00EA043A">
        <w:t>shall be a public record under the California Public Records Act (Chapter 3.5 (commencing with Section 6250) of Division 7 of Title 1 of the Government Code), and shall be open to public inspection</w:t>
      </w:r>
      <w:r>
        <w:t>.</w:t>
      </w:r>
    </w:p>
    <w:p w:rsidR="00EA043A" w:rsidRDefault="009760CB" w:rsidP="00EA043A">
      <w:pPr>
        <w:pStyle w:val="Heading3"/>
      </w:pPr>
      <w:r>
        <w:t>Contractor’s commitment</w:t>
      </w:r>
      <w:r>
        <w:t xml:space="preserve"> that a Skilled and Trained Workforce will be used to perform Work on the Project and the Contract may also be established by the Contractor providing evidence and any other information or documents reasonably requested by the District showing </w:t>
      </w:r>
      <w:r w:rsidRPr="00EA043A">
        <w:t xml:space="preserve">that the </w:t>
      </w:r>
      <w:r>
        <w:t>Con</w:t>
      </w:r>
      <w:r>
        <w:t xml:space="preserve">tractor </w:t>
      </w:r>
      <w:r w:rsidRPr="00EA043A">
        <w:t>has entered into a project labor agreement that in</w:t>
      </w:r>
      <w:r>
        <w:t xml:space="preserve">cludes the requirements of </w:t>
      </w:r>
      <w:r>
        <w:t>Education Code section 17407.5(b</w:t>
      </w:r>
      <w:r>
        <w:t xml:space="preserve">) </w:t>
      </w:r>
      <w:r w:rsidRPr="00EA043A">
        <w:t xml:space="preserve">that will bind the </w:t>
      </w:r>
      <w:r>
        <w:t xml:space="preserve">Contractor </w:t>
      </w:r>
      <w:r w:rsidRPr="00EA043A">
        <w:t xml:space="preserve">and all its </w:t>
      </w:r>
      <w:r>
        <w:t>S</w:t>
      </w:r>
      <w:r>
        <w:t>ubcontractors of</w:t>
      </w:r>
      <w:r w:rsidRPr="00EA043A">
        <w:t xml:space="preserve"> </w:t>
      </w:r>
      <w:r>
        <w:t xml:space="preserve">any tier performing Work on </w:t>
      </w:r>
      <w:r w:rsidRPr="00EA043A">
        <w:t xml:space="preserve">the </w:t>
      </w:r>
      <w:r>
        <w:t>P</w:t>
      </w:r>
      <w:r w:rsidRPr="00EA043A">
        <w:t xml:space="preserve">roject or </w:t>
      </w:r>
      <w:r>
        <w:t>C</w:t>
      </w:r>
      <w:r w:rsidRPr="00EA043A">
        <w:t>ontract</w:t>
      </w:r>
      <w:r>
        <w:t>.</w:t>
      </w:r>
    </w:p>
    <w:p w:rsidR="006C680A" w:rsidRDefault="009760CB" w:rsidP="00FA7D8C">
      <w:pPr>
        <w:pStyle w:val="Heading2"/>
      </w:pPr>
      <w:r w:rsidRPr="00FA7D8C">
        <w:t xml:space="preserve">If the </w:t>
      </w:r>
      <w:r>
        <w:t>District’s G</w:t>
      </w:r>
      <w:r w:rsidRPr="00FA7D8C">
        <w:t>overn</w:t>
      </w:r>
      <w:r w:rsidRPr="00FA7D8C">
        <w:t xml:space="preserve">ing </w:t>
      </w:r>
      <w:r>
        <w:t>B</w:t>
      </w:r>
      <w:r w:rsidRPr="00FA7D8C">
        <w:t xml:space="preserve">oard has entered into a project labor agreement that will bind all contractors and subcontractors performing </w:t>
      </w:r>
      <w:r>
        <w:t>Work on this P</w:t>
      </w:r>
      <w:r w:rsidRPr="00FA7D8C">
        <w:t xml:space="preserve">roject or </w:t>
      </w:r>
      <w:r>
        <w:t>C</w:t>
      </w:r>
      <w:r w:rsidRPr="00FA7D8C">
        <w:t xml:space="preserve">ontract that includes the requirements of </w:t>
      </w:r>
      <w:r>
        <w:t>Education Code section 17407.5(b</w:t>
      </w:r>
      <w:r>
        <w:t>)</w:t>
      </w:r>
      <w:r w:rsidRPr="00FA7D8C">
        <w:t xml:space="preserve">, the </w:t>
      </w:r>
      <w:r>
        <w:t xml:space="preserve">Contractor’s </w:t>
      </w:r>
      <w:r w:rsidRPr="00FA7D8C">
        <w:t xml:space="preserve">agreement that it will </w:t>
      </w:r>
      <w:r w:rsidRPr="00FA7D8C">
        <w:lastRenderedPageBreak/>
        <w:t>become a party to that project labor agreement</w:t>
      </w:r>
      <w:r>
        <w:t xml:space="preserve"> shall satisfy the requirements under </w:t>
      </w:r>
      <w:r>
        <w:t>Education Code section 17407.5(b</w:t>
      </w:r>
      <w:r>
        <w:t>).</w:t>
      </w:r>
    </w:p>
    <w:p w:rsidR="007528AA" w:rsidRDefault="009760CB" w:rsidP="007528AA">
      <w:pPr>
        <w:pStyle w:val="Heading2"/>
      </w:pPr>
      <w:r>
        <w:t>If the Contractor or Subcontractor of any tier is not in compliance with all of the</w:t>
      </w:r>
      <w:r>
        <w:t xml:space="preserve"> applicable Skilled and Trained Workforce</w:t>
      </w:r>
      <w:r>
        <w:t xml:space="preserve">, the District shall exercise any rights or remedies allowed under </w:t>
      </w:r>
      <w:r>
        <w:t>Public Contract Code section</w:t>
      </w:r>
      <w:r>
        <w:t>s</w:t>
      </w:r>
      <w:r>
        <w:t xml:space="preserve"> 2602</w:t>
      </w:r>
      <w:r>
        <w:t xml:space="preserve"> </w:t>
      </w:r>
      <w:r>
        <w:t xml:space="preserve">or 2603, </w:t>
      </w:r>
      <w:r>
        <w:t>or other applicable law</w:t>
      </w:r>
      <w:r>
        <w:t>.</w:t>
      </w:r>
    </w:p>
    <w:p w:rsidR="00E4078C" w:rsidRDefault="009760CB">
      <w:pPr>
        <w:pStyle w:val="Heading1"/>
      </w:pPr>
      <w:bookmarkStart w:id="176" w:name="_Toc256000030"/>
      <w:bookmarkStart w:id="177" w:name="_Toc365549841"/>
      <w:bookmarkStart w:id="178" w:name="_Toc472525909"/>
      <w:r>
        <w:t>PROTECTION OF PERSONS AND PROPERTY</w:t>
      </w:r>
      <w:bookmarkEnd w:id="176"/>
      <w:bookmarkEnd w:id="177"/>
      <w:bookmarkEnd w:id="178"/>
    </w:p>
    <w:p w:rsidR="00E4078C" w:rsidRDefault="009760CB">
      <w:pPr>
        <w:pStyle w:val="Heading2"/>
      </w:pPr>
      <w:r>
        <w:rPr>
          <w:u w:val="single"/>
        </w:rPr>
        <w:t>Fingerprinting</w:t>
      </w:r>
      <w:r>
        <w:t xml:space="preserve">.  If any portion of the work for the Project is to be performed at an </w:t>
      </w:r>
      <w:r>
        <w:t xml:space="preserve">operating school, Contractor shall comply with the applicable requirements of Education Code </w:t>
      </w:r>
      <w:r>
        <w:t>section</w:t>
      </w:r>
      <w:r>
        <w:t xml:space="preserve">s 45125.1 and 45125.2 with respect to fingerprinting of employees who may have contact with District’s pupils.  Contractor shall also ensure that its </w:t>
      </w:r>
      <w:r>
        <w:t>Subcon</w:t>
      </w:r>
      <w:r>
        <w:t>tractor</w:t>
      </w:r>
      <w:r>
        <w:t xml:space="preserve">s on the Project comply with the applicable requirements of Sections 45125.1 and 45125.2.  To this end, Contractor and its </w:t>
      </w:r>
      <w:r>
        <w:t>Subcontractor</w:t>
      </w:r>
      <w:r>
        <w:t xml:space="preserve">s must provide for the completion of the Fingerprint Certification form attached as Exhibit “F” and incorporated </w:t>
      </w:r>
      <w:r>
        <w:t xml:space="preserve">herein by this reference prior to commencing work on the Project.  In no event shall any employees of Contractor or its </w:t>
      </w:r>
      <w:r>
        <w:t>Subcontractor</w:t>
      </w:r>
      <w:r>
        <w:t>s come into contact with District’s pupils before the certification is completed.  Contractor’s failure to comply with this</w:t>
      </w:r>
      <w:r>
        <w:t xml:space="preserve"> law shall be considered a material breach of the Agreement upon where the Agreement may be terminated, at District’s sole discretion, without any further compensation to Contractor.  Contractor and </w:t>
      </w:r>
      <w:r>
        <w:t>Subcontractor</w:t>
      </w:r>
      <w:r>
        <w:t xml:space="preserve"> personnel on Site shall not have been convi</w:t>
      </w:r>
      <w:r>
        <w:t>cted of any criminal offense which may have a discernible adverse impact on District or its students.  Contractor shall advise its employees of these requirements before they enter on the Site and shall immediately remove from the Site any employee in viol</w:t>
      </w:r>
      <w:r>
        <w:t xml:space="preserve">ation of these requirements as determined by Contractor or by District.  Contractor shall impose these requirements on its </w:t>
      </w:r>
      <w:r>
        <w:t>Subcontractor</w:t>
      </w:r>
      <w:r>
        <w:t>s.</w:t>
      </w:r>
    </w:p>
    <w:p w:rsidR="00E4078C" w:rsidRDefault="009760CB">
      <w:pPr>
        <w:pStyle w:val="Heading2"/>
      </w:pPr>
      <w:r>
        <w:t>Contractor has been advised and is aware that District has adopted</w:t>
      </w:r>
      <w:r>
        <w:t xml:space="preserve"> a</w:t>
      </w:r>
      <w:r>
        <w:t xml:space="preserve"> Board Policy which prohibits the use of tobacco </w:t>
      </w:r>
      <w:r>
        <w:t xml:space="preserve">products, including smokeless tobacco, anywhere on District property.  Contractor shall be responsible for the enforcement of District’s tobacco-free policy among all Contractor’s employees and </w:t>
      </w:r>
      <w:r>
        <w:t>Subcontractor</w:t>
      </w:r>
      <w:r>
        <w:t>s while on District property.  Contractor underst</w:t>
      </w:r>
      <w:r>
        <w:t xml:space="preserve">ands and agrees that should any employee or </w:t>
      </w:r>
      <w:r>
        <w:t>Subcontractor</w:t>
      </w:r>
      <w:r>
        <w:t xml:space="preserve"> of Contractor violate </w:t>
      </w:r>
      <w:r>
        <w:t xml:space="preserve">the </w:t>
      </w:r>
      <w:r>
        <w:t>Board Policy, after having already been warned once for violating District’s tobacco-free policy, Contractor shall remove the individual for the duration of the Project.  C</w:t>
      </w:r>
      <w:r>
        <w:t>ontractor shall not be entitled to any additional compensation and/or time in completing the Project as a result of such removal.</w:t>
      </w:r>
    </w:p>
    <w:p w:rsidR="00E4078C" w:rsidRDefault="009760CB">
      <w:pPr>
        <w:pStyle w:val="Heading2"/>
      </w:pPr>
      <w:r>
        <w:t xml:space="preserve">Contractor shall take all steps necessary to insure that employees of Contractor or any of its </w:t>
      </w:r>
      <w:r>
        <w:t>Subcontractor</w:t>
      </w:r>
      <w:r>
        <w:t>s’ employees do no</w:t>
      </w:r>
      <w:r>
        <w:t xml:space="preserve">t use, consume, or work under the influence of alcohol or illegal drugs while on the Project.  Contractor shall prevent any of its employees or its </w:t>
      </w:r>
      <w:r>
        <w:t>Subcontractor</w:t>
      </w:r>
      <w:r>
        <w:t>s’ employees from playing any recorded music devices or radios or wearing any radio headphone d</w:t>
      </w:r>
      <w:r>
        <w:t xml:space="preserve">evices for entertainment while working on the </w:t>
      </w:r>
      <w:r>
        <w:t>Project</w:t>
      </w:r>
      <w:r>
        <w:t xml:space="preserve">.  Contractor shall also prevent its employees or </w:t>
      </w:r>
      <w:r>
        <w:t>Subcontractor</w:t>
      </w:r>
      <w:r>
        <w:t>s’ employees from bringing any animal onto the Project.</w:t>
      </w:r>
    </w:p>
    <w:p w:rsidR="00E4078C" w:rsidRDefault="009760CB">
      <w:pPr>
        <w:pStyle w:val="Heading2"/>
      </w:pPr>
      <w:r>
        <w:t>Contractor shall be responsible for all damages to persons or property that occur as</w:t>
      </w:r>
      <w:r>
        <w:t xml:space="preserve"> a result of its fault or negligence in connection with the prosecution of this Contract and shall take all necessary measures and be responsible for the proper care and protection of all materials delivered and work performed until completion and final ac</w:t>
      </w:r>
      <w:r>
        <w:t>ceptance by District.</w:t>
      </w:r>
    </w:p>
    <w:p w:rsidR="00E4078C" w:rsidRDefault="009760CB">
      <w:pPr>
        <w:pStyle w:val="Heading2"/>
      </w:pPr>
      <w:r>
        <w:t xml:space="preserve">Contractor shall take, and require </w:t>
      </w:r>
      <w:r>
        <w:t>Subcontractor</w:t>
      </w:r>
      <w:r>
        <w:t>s to take, all necessary precautions for safety of workers on the work and shall comply with all applicable federal, state, local and other safety laws, standards, orders, rules, regulat</w:t>
      </w:r>
      <w:r>
        <w:t xml:space="preserve">ions, and building codes to prevent accidents or injury to persons on, about, or adjacent to premises where work is being performed and to provide a safe and healthful place of employment.  In addition to meeting all requirements of OSHA, Cal-OSHA, state, </w:t>
      </w:r>
      <w:r>
        <w:t>and local codes, Contractor shall furnish, erect and properly maintain at all times, as directed by District or required by conditions and progress of work, all necessary safety devices, safeguards, construction canopies, signs, audible devices for protect</w:t>
      </w:r>
      <w:r>
        <w:t xml:space="preserve">ion of the blind, safety rails, belts and nets, barriers, lights, and watchmen for protection of workers and the public and shall </w:t>
      </w:r>
      <w:r>
        <w:lastRenderedPageBreak/>
        <w:t xml:space="preserve">post danger signs warning against hazards created by such features in the course of construction.  Contractor shall designate </w:t>
      </w:r>
      <w:r>
        <w:t>a responsible member of its organization on the work, whose duty shall be to post information regarding protection and obligations of workers and other notices required under occupational safety and health laws, to comply with reporting and other occupatio</w:t>
      </w:r>
      <w:r>
        <w:t>nal safety requirements, and to protect the life, safety and health of workers.  Name and position of person so designated shall be reported to District by Contractor.  Contractor shall correct any violations of safety laws, rules, orders, standards or reg</w:t>
      </w:r>
      <w:r>
        <w:t>ulations.  Upon the issuance of a citation or notice of violation by the Division of Occupational Safety and Health, such violation shall be corrected promptly.</w:t>
      </w:r>
    </w:p>
    <w:p w:rsidR="00E4078C" w:rsidRDefault="009760CB">
      <w:pPr>
        <w:pStyle w:val="Heading2"/>
      </w:pPr>
      <w:r>
        <w:t>In an emergency affecting safety of life or of work or of adjoining property, Contractor, witho</w:t>
      </w:r>
      <w:r>
        <w:t>ut special instruction or authorization from District, is hereby permitted to act, at its discretion, to prevent such threatened loss or injury; and Contractor shall so act if so authorized or instructed by District.  Any compensation claimed by Contractor</w:t>
      </w:r>
      <w:r>
        <w:t xml:space="preserve"> on account of emergency work shall be determined by agreement.</w:t>
      </w:r>
    </w:p>
    <w:p w:rsidR="00E4078C" w:rsidRDefault="009760CB">
      <w:pPr>
        <w:pStyle w:val="Heading2"/>
      </w:pPr>
      <w:r>
        <w:t>Contractor shall provide such heat, covering, and enclosures as are necessary to protect all work, materials, equipment, appliances, and tools against damage by weather conditions.</w:t>
      </w:r>
    </w:p>
    <w:p w:rsidR="00E4078C" w:rsidRDefault="009760CB">
      <w:pPr>
        <w:pStyle w:val="Heading2"/>
      </w:pPr>
      <w:r>
        <w:t xml:space="preserve">Contractor </w:t>
      </w:r>
      <w:r>
        <w:t>shall take adequate precautions to protect existing roads, sidewalks, curbs, pavements, utilities, adjoining property and structures (including, without limitation, protection from settlement or loss of lateral support), and to avoid damage thereto, and re</w:t>
      </w:r>
      <w:r>
        <w:t>pair any damage thereto caused by construction operations.  All permits, licenses, or inspection fees required for such repair work shall be obtained and paid for by Contractor.</w:t>
      </w:r>
    </w:p>
    <w:p w:rsidR="00E4078C" w:rsidRDefault="009760CB">
      <w:pPr>
        <w:pStyle w:val="Heading2"/>
      </w:pPr>
      <w:r>
        <w:rPr>
          <w:u w:val="single"/>
        </w:rPr>
        <w:t xml:space="preserve">Trenches Five Feet or More in Depth. </w:t>
      </w:r>
      <w:r>
        <w:t xml:space="preserve"> The Contractor shall submit to the Distr</w:t>
      </w:r>
      <w:r>
        <w:t>ict, in advance of excavation, a detailed plan showing the design of shoring, bracing, sloping or other provisions to be made for worker protection from the hazard of caving ground during the excavation of any trench or trenches five feet or more in depth.</w:t>
      </w:r>
      <w:r>
        <w:t xml:space="preserve">  The Contractor shall also submit a copy of its annual trench/excavation permit approved by CAL-OSHA.  The plan shall be prepared by a registered civil or structural engineer.  As part of the plan, a note shall be included stating that the registered civi</w:t>
      </w:r>
      <w:r>
        <w:t>l or structural engineer certifies that the plan complies with CAL OSHA Construction Safety Orders, or stating that the registered civil or structural engineer certifies that the plan is not less effective than the shoring, bracing, sloping, or other provi</w:t>
      </w:r>
      <w:r>
        <w:t>sions of the Safety Orders.</w:t>
      </w:r>
    </w:p>
    <w:p w:rsidR="00E4078C" w:rsidRDefault="009760CB">
      <w:pPr>
        <w:pStyle w:val="Heading3"/>
      </w:pPr>
      <w:r>
        <w:t>All shoring submittal shall include surcharge loads from adjacent embankments, construction loads and spoil bank.  Submittal shall indicate minimum horizontal distance from top of trench to edge of all surcharge loads for all ca</w:t>
      </w:r>
      <w:r>
        <w:t>ses of shoring and side slopes.</w:t>
      </w:r>
    </w:p>
    <w:p w:rsidR="00E4078C" w:rsidRDefault="009760CB">
      <w:pPr>
        <w:pStyle w:val="Heading3"/>
      </w:pPr>
      <w:r>
        <w:t>Nothing in this Section shall relieve Contractor of the full responsibility for providing shoring, bracing sloping, or other provisions adequate for worker protection.  If such plan varies from the shoring system standards e</w:t>
      </w:r>
      <w:r>
        <w:t>stablished by the Construction Safety Orders, the plan shall be prepared by a registered civil or structural engineer and shall be approved by CAL-OSHA.  No excavation of such trench or trenches shall be commenced until said plan has been accepted by the D</w:t>
      </w:r>
      <w:r>
        <w:t>istrict or the person to whom authority to accept has been delegated by the District.</w:t>
      </w:r>
    </w:p>
    <w:p w:rsidR="00E4078C" w:rsidRDefault="009760CB">
      <w:pPr>
        <w:pStyle w:val="Heading2"/>
      </w:pPr>
      <w:r>
        <w:t>Contractor shall (unless waived by District in writing):</w:t>
      </w:r>
    </w:p>
    <w:p w:rsidR="00E4078C" w:rsidRDefault="009760CB">
      <w:pPr>
        <w:pStyle w:val="Heading3"/>
      </w:pPr>
      <w:r>
        <w:t>When performing construction on existing sites, become informed and take into specific account the maturity of th</w:t>
      </w:r>
      <w:r>
        <w:t>e students on the site; and when performing work which may interfere with the school routine before</w:t>
      </w:r>
      <w:r>
        <w:t>, during</w:t>
      </w:r>
      <w:r>
        <w:t xml:space="preserve"> or after school hours, enclose working area with a substantial barricade, and arrange work to cause minimum amount of inconvenience and danger to st</w:t>
      </w:r>
      <w:r>
        <w:t>udents and faculty in their regular school activities.</w:t>
      </w:r>
    </w:p>
    <w:p w:rsidR="00E4078C" w:rsidRDefault="009760CB">
      <w:pPr>
        <w:pStyle w:val="Heading3"/>
      </w:pPr>
      <w:r>
        <w:lastRenderedPageBreak/>
        <w:t>Not allow any person, other than workers on the Project, or individuals authorized by District to come upon any portion of the premises where work is being performed.  Contractor shall require all work</w:t>
      </w:r>
      <w:r>
        <w:t>ers on the Project to be conspicuously identified either by a firm logo on their clothing, or by means of a prominent identification badge.</w:t>
      </w:r>
    </w:p>
    <w:p w:rsidR="00E4078C" w:rsidRDefault="009760CB">
      <w:pPr>
        <w:pStyle w:val="Heading3"/>
      </w:pPr>
      <w:r>
        <w:t>Provide substantial barricades around any shrubs or trees indicated to be preserved.</w:t>
      </w:r>
    </w:p>
    <w:p w:rsidR="00E4078C" w:rsidRDefault="009760CB">
      <w:pPr>
        <w:pStyle w:val="Heading3"/>
      </w:pPr>
      <w:r>
        <w:t>Deliver materials to building a</w:t>
      </w:r>
      <w:r>
        <w:t>rea over route designated by District.</w:t>
      </w:r>
    </w:p>
    <w:p w:rsidR="00E4078C" w:rsidRDefault="009760CB">
      <w:pPr>
        <w:pStyle w:val="Heading3"/>
      </w:pPr>
      <w:r>
        <w:t>Take preventive measures to eliminate dust.</w:t>
      </w:r>
    </w:p>
    <w:p w:rsidR="00E4078C" w:rsidRDefault="009760CB">
      <w:pPr>
        <w:pStyle w:val="Heading3"/>
      </w:pPr>
      <w:r>
        <w:t>Confine apparatus, the storage of materials, and the operations of workers to limits indicated by law, ordinances, permits, or directions of District; and shall not interfer</w:t>
      </w:r>
      <w:r>
        <w:t>e with the work or unreasonably encumber premises or overload any structure with materials; and enforce all instructions of District regarding signs, advertising, fires, smoking, the presence of liquor, and the presence of firearms and require that all wor</w:t>
      </w:r>
      <w:r>
        <w:t>kers comply with all regulations while on construction site.</w:t>
      </w:r>
    </w:p>
    <w:p w:rsidR="00E4078C" w:rsidRDefault="009760CB">
      <w:pPr>
        <w:pStyle w:val="Heading3"/>
      </w:pPr>
      <w:r>
        <w:t>Take care to prevent disturbing or covering any survey markers, monuments, or other devices marking property boundaries or corners.  If such markers are disturbed by accident, they shall be repla</w:t>
      </w:r>
      <w:r>
        <w:t>ced by an approved land surveyor or civil engineer at no cost to District.</w:t>
      </w:r>
    </w:p>
    <w:p w:rsidR="00E4078C" w:rsidRDefault="009760CB">
      <w:pPr>
        <w:pStyle w:val="Heading3"/>
      </w:pPr>
      <w:r>
        <w:t>Not allow personal radios on the work site</w:t>
      </w:r>
    </w:p>
    <w:p w:rsidR="00E4078C" w:rsidRDefault="009760CB">
      <w:pPr>
        <w:pStyle w:val="Heading3"/>
      </w:pPr>
      <w:r>
        <w:t xml:space="preserve">Where the Project involves work at an operating school, inform and take such preventive measures necessary to insure that all employees, </w:t>
      </w:r>
      <w:r>
        <w:t>Subcontractor</w:t>
      </w:r>
      <w:r>
        <w:t>s and other individuals authorized on the Project site refrain from any personal contact or conversations with the students on site.</w:t>
      </w:r>
    </w:p>
    <w:p w:rsidR="00E4078C" w:rsidRDefault="009760CB">
      <w:pPr>
        <w:pStyle w:val="Heading3"/>
      </w:pPr>
      <w:r>
        <w:t>Contractor shall not impose structural loading upon any part of the work under construction or upon existing c</w:t>
      </w:r>
      <w:r>
        <w:t>onstruction on or adjacent to the Site in excess of safe limits, or loading such as to result in damage to the structural, architectural, mechanical, electrical, or other components of the work.  The design of all temporary construction equipment and appli</w:t>
      </w:r>
      <w:r>
        <w:t>ances used in construction of the work and not a permanent part thereof, including, without limitation, hoisting equipment, cribbing, shoring, and temporary bracing of structural steel, is the sole responsibility of Contractor.  All such items shall confor</w:t>
      </w:r>
      <w:r>
        <w:t>m with the requirements of governing codes and all laws, ordinances, rules, regulations, and orders of all authorities having jurisdiction.  Contractor shall take reasonable and customary precautions, such as shoring of masonry walls and temporary tie brac</w:t>
      </w:r>
      <w:r>
        <w:t>ing of structural steel work, to prevent possible wind damage during construction of the work.  The installation of such bracing or shoring shall not damage the work in place or the work installed by others.  Any damage which does occur shall be promptly r</w:t>
      </w:r>
      <w:r>
        <w:t>epaired by Contractor at no cost to District.</w:t>
      </w:r>
    </w:p>
    <w:p w:rsidR="00E4078C" w:rsidRDefault="009760CB">
      <w:pPr>
        <w:pStyle w:val="Heading3"/>
      </w:pPr>
      <w:r>
        <w:t xml:space="preserve">Contractor shall require that </w:t>
      </w:r>
      <w:r>
        <w:t>Subcontractor</w:t>
      </w:r>
      <w:r>
        <w:t>s participate in, and enforce, the safety and loss prevention programs established by Contractor for the Project, which will cover all work performed by Contractor and</w:t>
      </w:r>
      <w:r>
        <w:t xml:space="preserve"> its </w:t>
      </w:r>
      <w:r>
        <w:t>Subcontractor</w:t>
      </w:r>
      <w:r>
        <w:t xml:space="preserve">s.  All </w:t>
      </w:r>
      <w:r>
        <w:t>Subcontractor</w:t>
      </w:r>
      <w:r>
        <w:t xml:space="preserve">s and material or equipment suppliers shall cooperate fully with Contractor, District, and all insurance carriers.  Subcontractors shall immediately, within twenty four (24) hours, report in writing to Contractor all </w:t>
      </w:r>
      <w:r>
        <w:t xml:space="preserve">accidents whatsoever arising out of, or in connection with, the performance of the work, whether on or off the Site, which caused death, personal injury, or property damage, giving full details and statements </w:t>
      </w:r>
      <w:r>
        <w:lastRenderedPageBreak/>
        <w:t>of witnesses.  Contractor shall thereafter imme</w:t>
      </w:r>
      <w:r>
        <w:t>diately, within two (2) days, report the facts in writing to District giving full details of the accident.</w:t>
      </w:r>
    </w:p>
    <w:p w:rsidR="00E4078C" w:rsidRDefault="009760CB">
      <w:pPr>
        <w:pStyle w:val="Heading3"/>
      </w:pPr>
      <w:r>
        <w:t xml:space="preserve">Contractor and </w:t>
      </w:r>
      <w:r>
        <w:t>Subcontractor</w:t>
      </w:r>
      <w:r>
        <w:t>s shall use only those ingress and egress routes designated by District, observe the boundaries of the Site designated by</w:t>
      </w:r>
      <w:r>
        <w:t xml:space="preserve"> District, park only in those areas designated by District, which areas may be on or off the Site, and comply with any parking control program established by District, such as furnishing license plate information and placing identifying stickers on vehicle</w:t>
      </w:r>
      <w:r>
        <w:t>s.</w:t>
      </w:r>
    </w:p>
    <w:p w:rsidR="00E4078C" w:rsidRDefault="009760CB">
      <w:pPr>
        <w:pStyle w:val="Heading3"/>
      </w:pPr>
      <w:r>
        <w:t>Contractor shall be responsible for providing security services for the Site as needed for the protection of the Site and as determined in District’s reasonable discretion.</w:t>
      </w:r>
    </w:p>
    <w:p w:rsidR="00E4078C" w:rsidRDefault="009760CB">
      <w:pPr>
        <w:pStyle w:val="Heading3"/>
      </w:pPr>
      <w:r>
        <w:t>Contractor shall, for all contracts involving state funds, submit a “Drug-Free W</w:t>
      </w:r>
      <w:r>
        <w:t xml:space="preserve">orkplace Certification.”  Contractor shall take all reasonable steps necessary to ensure that any employees of Contractor or any of its </w:t>
      </w:r>
      <w:r>
        <w:t>Subcontractor</w:t>
      </w:r>
      <w:r>
        <w:t>s’ employees report for work in a manner fit to do their job. Such employees shall not be under the influen</w:t>
      </w:r>
      <w:r>
        <w:t>ce of or in possession of any alcoholic beverage or of any controlled substance (except a controlled substance as prescribed by a physician so long as the performance or safety at the Project Site is not affected thereby).  Contractor shall advise its empl</w:t>
      </w:r>
      <w:r>
        <w:t xml:space="preserve">oyees of these requirements before they enter on the Site and shall immediately remove from the site any employee in violation of these requirements as determined by Contractor or by the District.  Contractor shall impose these requirements on its </w:t>
      </w:r>
      <w:r>
        <w:t>Subcontr</w:t>
      </w:r>
      <w:r>
        <w:t>actor</w:t>
      </w:r>
      <w:r>
        <w:t>s.</w:t>
      </w:r>
    </w:p>
    <w:p w:rsidR="00E4078C" w:rsidRDefault="009760CB">
      <w:pPr>
        <w:pStyle w:val="Heading3"/>
      </w:pPr>
      <w:r>
        <w:t xml:space="preserve">Contractor and </w:t>
      </w:r>
      <w:r>
        <w:t>Subcontractor</w:t>
      </w:r>
      <w:r>
        <w:t>s shall at all times enforce strict discipline and good order among their employees and other persons carrying out the Contract and shall not employ on work any unfit person or anyone not skilled in work assigned to such</w:t>
      </w:r>
      <w:r>
        <w:t xml:space="preserve"> person.  It shall be the responsibility of Contractor to ensure compliance with this Article.  Any person in the employ of Contractor or </w:t>
      </w:r>
      <w:r>
        <w:t>Subcontractor</w:t>
      </w:r>
      <w:r>
        <w:t>s whom District may deem incompetent, unfit, intemperate, troublesome or otherwise undesirable shall be e</w:t>
      </w:r>
      <w:r>
        <w:t xml:space="preserve">xcluded from the work Site and shall not again be employed on it except with written consent of District.  Contractor must sign and cause all </w:t>
      </w:r>
      <w:r>
        <w:t>Subcontractor</w:t>
      </w:r>
      <w:r>
        <w:t>s to sign the Conduct Rules for Contractors form attached as Exhibit “I” and incorporated herein by t</w:t>
      </w:r>
      <w:r>
        <w:t>his reference prior to commencing work on the Project.</w:t>
      </w:r>
    </w:p>
    <w:p w:rsidR="00E4078C" w:rsidRDefault="009760CB">
      <w:pPr>
        <w:pStyle w:val="Heading2"/>
      </w:pPr>
      <w:r>
        <w:t>Contractor shall be at all times during the performance of work hereunder in full compliance with the provisions of the Immigration Reform and Control Act of 1986 (“IRCA”) in the hiring of its employee</w:t>
      </w:r>
      <w:r>
        <w:t>s, and Contractor shall indemnify, hold harmless and defend District against any and all actions, proceedings, penalties or claims arising out of Contractor’s failure to comply strictly with the IRCA.</w:t>
      </w:r>
    </w:p>
    <w:p w:rsidR="00E4078C" w:rsidRDefault="009760CB">
      <w:pPr>
        <w:pStyle w:val="Heading1"/>
      </w:pPr>
      <w:bookmarkStart w:id="179" w:name="_Toc365549842"/>
      <w:bookmarkStart w:id="180" w:name="_Toc256000031"/>
      <w:bookmarkStart w:id="181" w:name="_Toc472525910"/>
      <w:bookmarkStart w:id="182" w:name="_Ref472588320"/>
      <w:r>
        <w:t>PAYMENTS</w:t>
      </w:r>
      <w:bookmarkEnd w:id="179"/>
      <w:r>
        <w:t xml:space="preserve"> AND </w:t>
      </w:r>
      <w:r>
        <w:t>RETENTION</w:t>
      </w:r>
      <w:bookmarkEnd w:id="180"/>
      <w:bookmarkEnd w:id="181"/>
      <w:bookmarkEnd w:id="182"/>
    </w:p>
    <w:p w:rsidR="00E4078C" w:rsidRDefault="009760CB" w:rsidP="000F5998">
      <w:pPr>
        <w:pStyle w:val="Heading2"/>
        <w:numPr>
          <w:ilvl w:val="0"/>
          <w:numId w:val="0"/>
        </w:numPr>
        <w:ind w:left="1440"/>
      </w:pPr>
      <w:r w:rsidRPr="00652DB0">
        <w:t>The Construction Cost of the Pro</w:t>
      </w:r>
      <w:r w:rsidRPr="00652DB0">
        <w:t>ject shall not exceed the GMP, except as otherwise provided in this Construction Services Agreement and Sublease.  During the progress of construction</w:t>
      </w:r>
      <w:r>
        <w:t>,</w:t>
      </w:r>
      <w:r w:rsidRPr="00652DB0">
        <w:t xml:space="preserve"> Contractor will provide monthly </w:t>
      </w:r>
      <w:r>
        <w:t>p</w:t>
      </w:r>
      <w:r w:rsidRPr="00652DB0">
        <w:t xml:space="preserve">rogress </w:t>
      </w:r>
      <w:r>
        <w:t>p</w:t>
      </w:r>
      <w:r w:rsidRPr="00652DB0">
        <w:t xml:space="preserve">ayment applications for the total scheduled value of the work </w:t>
      </w:r>
      <w:r w:rsidRPr="00652DB0">
        <w:t xml:space="preserve">completed under the GMP set forth in </w:t>
      </w:r>
      <w:r>
        <w:t>Article 3</w:t>
      </w:r>
      <w:r w:rsidRPr="00652DB0">
        <w:t xml:space="preserve">.  District shall pay to Contractor a monthly </w:t>
      </w:r>
      <w:r>
        <w:t>p</w:t>
      </w:r>
      <w:r w:rsidRPr="00652DB0">
        <w:t xml:space="preserve">rogress </w:t>
      </w:r>
      <w:r>
        <w:t>p</w:t>
      </w:r>
      <w:r w:rsidRPr="00652DB0">
        <w:t xml:space="preserve">ayment comprising a sum equal to ninety-five percent (95%) of the scheduled value of the </w:t>
      </w:r>
      <w:r>
        <w:t xml:space="preserve">work approved and completed </w:t>
      </w:r>
      <w:r w:rsidRPr="00652DB0">
        <w:t>up to the last day of the previous mo</w:t>
      </w:r>
      <w:r w:rsidRPr="00652DB0">
        <w:t>nth, less</w:t>
      </w:r>
      <w:r>
        <w:t xml:space="preserve"> aggregate of previous payments</w:t>
      </w:r>
      <w:r>
        <w:t>(“Progress Payment”)</w:t>
      </w:r>
      <w:r w:rsidRPr="00652DB0">
        <w:t xml:space="preserve">. </w:t>
      </w:r>
      <w:r>
        <w:t xml:space="preserve"> </w:t>
      </w:r>
      <w:r w:rsidRPr="00652DB0">
        <w:t xml:space="preserve">If all of the necessary information is submitted and accurate (including the schedule of values), District shall approve the Progress Payments within fifteen (15) days after District’s receipt </w:t>
      </w:r>
      <w:r w:rsidRPr="00652DB0">
        <w:t xml:space="preserve">of the periodic estimate for partial payment and District shall pay such payments within fifteen (15) days after the District’s approval of the periodic estimate for partial payment.  Progress Payments shall be made on the basis of monthly estimates which </w:t>
      </w:r>
      <w:r w:rsidRPr="00652DB0">
        <w:t xml:space="preserve">shall be prepared by Contractor on a form approved by District and certified by Architect and Project Inspector, or any other approved representative of the District, and filed before the </w:t>
      </w:r>
      <w:r w:rsidRPr="00652DB0">
        <w:lastRenderedPageBreak/>
        <w:t>fifth day of the month during which payment is to be made. Work comp</w:t>
      </w:r>
      <w:r w:rsidRPr="00652DB0">
        <w:t>leted as estimated shall be an estimate only and no inaccuracy or error in said estimate shall release Contractor or any bondsman from such work or from enforcing each and every provision of this document and District shall have the right subsequently to c</w:t>
      </w:r>
      <w:r w:rsidRPr="00652DB0">
        <w:t xml:space="preserve">orrect any error made in any estimate for payment.  Contractor shall not be entitled to have any payment estimates processed or be entitled to have any payment made for work performed so long as any lawful or proper direction concerning non-complying work </w:t>
      </w:r>
      <w:r w:rsidRPr="00652DB0">
        <w:t>or any portion thereof given by the District lacks correction by Contractor.  District shall withhold from the Progress Payments 150% of the estimated value of non-complying work unless satisfactorily corrected or remedied.  Contractor shall, at a minimum,</w:t>
      </w:r>
      <w:r w:rsidRPr="00652DB0">
        <w:t xml:space="preserve"> provide the following documents as part of its request for a Progress Payment: (1) Schedule of Values, (2) Project Contingency Trackers, (3) Project Allowance Trackers, (4) Project Savings Reports (Refer to the Project Savings Section for the Project Savi</w:t>
      </w:r>
      <w:r w:rsidRPr="00652DB0">
        <w:t>ngs Items) including the budget versus actual costs of Project Management and General Condition Expenses , (5) Project Daily Reports (Contractor and Subcontractor), (6) Project Safety Reports, (7) Monthly Lien Releases Unconditional and Conditional Waivers</w:t>
      </w:r>
      <w:r w:rsidRPr="00652DB0">
        <w:t xml:space="preserve"> (all contractors), and (8) Monthly Schedule Update and Narratives (with </w:t>
      </w:r>
      <w:r>
        <w:t>R</w:t>
      </w:r>
      <w:r>
        <w:t xml:space="preserve">ecovery </w:t>
      </w:r>
      <w:r>
        <w:t>S</w:t>
      </w:r>
      <w:r>
        <w:t>chedules as needed</w:t>
      </w:r>
      <w:r>
        <w:t>).</w:t>
      </w:r>
    </w:p>
    <w:p w:rsidR="00F835C5" w:rsidRDefault="009760CB" w:rsidP="00F835C5">
      <w:pPr>
        <w:pStyle w:val="Heading2"/>
      </w:pPr>
      <w:r w:rsidRPr="00F835C5">
        <w:t xml:space="preserve">The District shall retain five percent (5%) </w:t>
      </w:r>
      <w:r>
        <w:t>“</w:t>
      </w:r>
      <w:r w:rsidRPr="00F835C5">
        <w:t>Retention</w:t>
      </w:r>
      <w:r>
        <w:t>”</w:t>
      </w:r>
      <w:r w:rsidRPr="00F835C5">
        <w:t xml:space="preserve"> from Progress Payments and release Retention as required in this CSA and specifically, not until</w:t>
      </w:r>
      <w:r w:rsidRPr="00F835C5">
        <w:t xml:space="preserve"> after Close-Out under Article </w:t>
      </w:r>
      <w:r>
        <w:t>13.16</w:t>
      </w:r>
      <w:r>
        <w:t>.</w:t>
      </w:r>
    </w:p>
    <w:p w:rsidR="00E4078C" w:rsidRDefault="009760CB" w:rsidP="00F835C5">
      <w:pPr>
        <w:pStyle w:val="Heading2"/>
      </w:pPr>
      <w:r w:rsidRPr="00F835C5">
        <w:t>In no event shall the cumulative tota</w:t>
      </w:r>
      <w:r>
        <w:t>l of the Progress Payments</w:t>
      </w:r>
      <w:r>
        <w:t>/ Sublease Payments</w:t>
      </w:r>
      <w:r>
        <w:t xml:space="preserve"> and</w:t>
      </w:r>
      <w:r w:rsidRPr="00F835C5">
        <w:t xml:space="preserve"> Retention ever exceed the GMP as defined herein, unless specifically allowed under Article </w:t>
      </w:r>
      <w:r>
        <w:t>5</w:t>
      </w:r>
      <w:r>
        <w:t>.</w:t>
      </w:r>
    </w:p>
    <w:p w:rsidR="00E4078C" w:rsidRDefault="009760CB">
      <w:pPr>
        <w:pStyle w:val="Heading3"/>
      </w:pPr>
      <w:r>
        <w:t xml:space="preserve">Title to new materials and/or </w:t>
      </w:r>
      <w:r>
        <w:t>equipment for the work of this contract, on a continuous basis while the Project is being completed, shall vest in the District.  However, responsibility for such new material and/or work of this contract shall remain with the Contractor until incorporated</w:t>
      </w:r>
      <w:r>
        <w:t xml:space="preserve"> into the work and accepted by District; no part of said materials and/or equipment shall be removed from its place of storage except for immediate installation in the work of this contract; and Contractor shall keep an accurate inventory of all said mater</w:t>
      </w:r>
      <w:r>
        <w:t>ials and/or equipment in a manner satisfactory to the owner or his authorized representative</w:t>
      </w:r>
      <w:r>
        <w:t>.</w:t>
      </w:r>
    </w:p>
    <w:p w:rsidR="00E4078C" w:rsidRDefault="009760CB" w:rsidP="00376829">
      <w:pPr>
        <w:pStyle w:val="Heading3"/>
        <w:numPr>
          <w:ilvl w:val="0"/>
          <w:numId w:val="0"/>
        </w:numPr>
        <w:ind w:left="2430"/>
      </w:pPr>
      <w:r>
        <w:t xml:space="preserve">Notwithstanding anything to the contrary stated above, the Contractor may include in its </w:t>
      </w:r>
      <w:r>
        <w:t xml:space="preserve">request for payment </w:t>
      </w:r>
      <w:r>
        <w:t xml:space="preserve">the value of any structural steel, glue laminated </w:t>
      </w:r>
      <w:r>
        <w:t>beams, trusses, bleachers and other such custom-made materials prepared specifically for the Project and unique to the Project so long as all of the following requirements are satisfied:</w:t>
      </w:r>
    </w:p>
    <w:p w:rsidR="00E4078C" w:rsidRDefault="009760CB">
      <w:pPr>
        <w:pStyle w:val="Heading4"/>
      </w:pPr>
      <w:r>
        <w:t>The aggregate cost of materials stored off-site shall not exceed Twen</w:t>
      </w:r>
      <w:r>
        <w:t>ty Five Thousand Dollars ($25,000) at any time or as otherwise agreed to be District in writing;</w:t>
      </w:r>
    </w:p>
    <w:p w:rsidR="00E4078C" w:rsidRDefault="009760CB">
      <w:pPr>
        <w:pStyle w:val="Heading4"/>
      </w:pPr>
      <w:r>
        <w:t>Title to such materials shall be vested in the District as evidenced by documentation satisfactory in form and substance to the District, including, without li</w:t>
      </w:r>
      <w:r>
        <w:t>mitation, recorded financing statements, UCC filings and UCC searches;</w:t>
      </w:r>
    </w:p>
    <w:p w:rsidR="00E4078C" w:rsidRDefault="009760CB">
      <w:pPr>
        <w:pStyle w:val="Heading4"/>
      </w:pPr>
      <w:r>
        <w:t xml:space="preserve">With each </w:t>
      </w:r>
      <w:r>
        <w:t>request for payment</w:t>
      </w:r>
      <w:r>
        <w:t>, the Contractor shall submit to the District a written list identifying each location where materials are stored off-site (which must be a bonded warehouse</w:t>
      </w:r>
      <w:r>
        <w:t>) and the value of the materials at each location.  The Contractor shall procure insurance satisfactory to the District (in its reasonable discretion) for materials stored off-site in an amount not less than the total value thereof;</w:t>
      </w:r>
    </w:p>
    <w:p w:rsidR="00E4078C" w:rsidRDefault="009760CB">
      <w:pPr>
        <w:pStyle w:val="Heading4"/>
      </w:pPr>
      <w:r>
        <w:t>The consent of any Sure</w:t>
      </w:r>
      <w:r>
        <w:t>ty shall be obtained to the extent required prior to payment for any materials stored off-site;</w:t>
      </w:r>
    </w:p>
    <w:p w:rsidR="00E4078C" w:rsidRDefault="009760CB">
      <w:pPr>
        <w:pStyle w:val="Heading4"/>
      </w:pPr>
      <w:r>
        <w:lastRenderedPageBreak/>
        <w:t>Representatives of the District shall have the right to make inspections of the storage areas at any time; and</w:t>
      </w:r>
    </w:p>
    <w:p w:rsidR="00E4078C" w:rsidRDefault="009760CB">
      <w:pPr>
        <w:pStyle w:val="Heading4"/>
      </w:pPr>
      <w:r>
        <w:t>Such materials shall be (1) protected from divers</w:t>
      </w:r>
      <w:r>
        <w:t>ion, destruction, theft and damage to the reasonable satisfaction of the District; (2) specifically marked for use on the Project; and (3) segregated from other materials at the storage facility.</w:t>
      </w:r>
    </w:p>
    <w:p w:rsidR="00E4078C" w:rsidRDefault="009760CB" w:rsidP="003571B5">
      <w:pPr>
        <w:pStyle w:val="Heading2"/>
      </w:pPr>
      <w:r>
        <w:rPr>
          <w:u w:val="single"/>
        </w:rPr>
        <w:t>Reasons to Withhold Payment.</w:t>
      </w:r>
      <w:r w:rsidRPr="00A41E4D">
        <w:t xml:space="preserve"> </w:t>
      </w:r>
      <w:r>
        <w:t xml:space="preserve"> </w:t>
      </w:r>
      <w:r w:rsidRPr="003571B5">
        <w:t xml:space="preserve">The District may withhold </w:t>
      </w:r>
      <w:r>
        <w:t xml:space="preserve">any </w:t>
      </w:r>
      <w:r w:rsidRPr="003571B5">
        <w:t>payment</w:t>
      </w:r>
      <w:r>
        <w:t xml:space="preserve">, </w:t>
      </w:r>
      <w:r w:rsidRPr="003571B5">
        <w:t>in whole, or in part, to such extent as may be necessary to protect the District from loss because of, but not limited to</w:t>
      </w:r>
      <w:r>
        <w:t>:</w:t>
      </w:r>
    </w:p>
    <w:p w:rsidR="00E4078C" w:rsidRDefault="009760CB">
      <w:pPr>
        <w:pStyle w:val="ListNumberIndent"/>
        <w:numPr>
          <w:ilvl w:val="0"/>
          <w:numId w:val="19"/>
        </w:numPr>
        <w:ind w:left="2160"/>
      </w:pPr>
      <w:r>
        <w:t>Defective Work not remedied;</w:t>
      </w:r>
    </w:p>
    <w:p w:rsidR="00E4078C" w:rsidRDefault="009760CB">
      <w:pPr>
        <w:pStyle w:val="ListNumberIndent"/>
        <w:numPr>
          <w:ilvl w:val="0"/>
          <w:numId w:val="19"/>
        </w:numPr>
        <w:ind w:left="2160"/>
      </w:pPr>
      <w:r>
        <w:t>Stop Notices served upon the District;</w:t>
      </w:r>
    </w:p>
    <w:p w:rsidR="00E4078C" w:rsidRDefault="009760CB">
      <w:pPr>
        <w:pStyle w:val="ListNumberIndent"/>
        <w:numPr>
          <w:ilvl w:val="0"/>
          <w:numId w:val="19"/>
        </w:numPr>
        <w:ind w:left="2160"/>
      </w:pPr>
      <w:r>
        <w:t>Liquidated damages assessed against the Contractor;</w:t>
      </w:r>
    </w:p>
    <w:p w:rsidR="00E4078C" w:rsidRDefault="009760CB">
      <w:pPr>
        <w:pStyle w:val="ListNumberIndent"/>
        <w:numPr>
          <w:ilvl w:val="0"/>
          <w:numId w:val="19"/>
        </w:numPr>
        <w:ind w:left="2160"/>
      </w:pPr>
      <w:r>
        <w:t xml:space="preserve">The </w:t>
      </w:r>
      <w:r>
        <w:t>cost of completion of the Contract if there exists reasona</w:t>
      </w:r>
      <w:r>
        <w:t>ble doubt that the Work can be C</w:t>
      </w:r>
      <w:r>
        <w:t>ompleted for the unpaid balance of any Contract Price or by the completion date;</w:t>
      </w:r>
    </w:p>
    <w:p w:rsidR="00E4078C" w:rsidRDefault="009760CB">
      <w:pPr>
        <w:pStyle w:val="ListNumberIndent"/>
        <w:numPr>
          <w:ilvl w:val="0"/>
          <w:numId w:val="19"/>
        </w:numPr>
        <w:ind w:left="2160"/>
      </w:pPr>
      <w:r>
        <w:t>Damage to the District or other contractor;</w:t>
      </w:r>
    </w:p>
    <w:p w:rsidR="00E4078C" w:rsidRDefault="009760CB">
      <w:pPr>
        <w:pStyle w:val="ListNumberIndent"/>
        <w:numPr>
          <w:ilvl w:val="0"/>
          <w:numId w:val="19"/>
        </w:numPr>
        <w:ind w:left="2160"/>
      </w:pPr>
      <w:r>
        <w:t>Unsatisfactory prosecution of the Work by</w:t>
      </w:r>
      <w:r>
        <w:t xml:space="preserve"> the Contractor;</w:t>
      </w:r>
    </w:p>
    <w:p w:rsidR="00E4078C" w:rsidRDefault="009760CB">
      <w:pPr>
        <w:pStyle w:val="ListNumberIndent"/>
        <w:numPr>
          <w:ilvl w:val="0"/>
          <w:numId w:val="19"/>
        </w:numPr>
        <w:ind w:left="2160"/>
      </w:pPr>
      <w:r>
        <w:t>Failure to store and properly secure materials;</w:t>
      </w:r>
    </w:p>
    <w:p w:rsidR="00E4078C" w:rsidRDefault="009760CB">
      <w:pPr>
        <w:pStyle w:val="ListNumberIndent"/>
        <w:numPr>
          <w:ilvl w:val="0"/>
          <w:numId w:val="19"/>
        </w:numPr>
        <w:ind w:left="2160"/>
      </w:pPr>
      <w:r>
        <w:t>Failure of the Contractor to submit on a timely basis, proper and sufficient documentation required by the Contract Documents, including, without limitation, acceptable monthly progress sched</w:t>
      </w:r>
      <w:r>
        <w:t>ules, Shop Drawings, Submittal schedules, schedule of values, product data and samples, proposed product lists, executed Change Order, Construction Change D</w:t>
      </w:r>
      <w:r>
        <w:t>ocument</w:t>
      </w:r>
      <w:r>
        <w:t>s, and verified reports;</w:t>
      </w:r>
    </w:p>
    <w:p w:rsidR="00E4078C" w:rsidRDefault="009760CB">
      <w:pPr>
        <w:pStyle w:val="ListNumberIndent"/>
        <w:numPr>
          <w:ilvl w:val="0"/>
          <w:numId w:val="19"/>
        </w:numPr>
        <w:ind w:left="2160"/>
      </w:pPr>
      <w:r>
        <w:t xml:space="preserve">Failure of the Contractor to maintain </w:t>
      </w:r>
      <w:r>
        <w:t>As-Built</w:t>
      </w:r>
      <w:r>
        <w:t xml:space="preserve"> drawings;</w:t>
      </w:r>
    </w:p>
    <w:p w:rsidR="00F3662B" w:rsidRDefault="009760CB">
      <w:pPr>
        <w:pStyle w:val="ListNumberIndent"/>
        <w:numPr>
          <w:ilvl w:val="0"/>
          <w:numId w:val="19"/>
        </w:numPr>
        <w:ind w:left="2160"/>
      </w:pPr>
      <w:r>
        <w:t xml:space="preserve">If, in the </w:t>
      </w:r>
      <w:r>
        <w:t>District’s opinion, the representations to the District required pursuant to Article 9.4 cannot be made;</w:t>
      </w:r>
    </w:p>
    <w:p w:rsidR="00E4078C" w:rsidRDefault="009760CB">
      <w:pPr>
        <w:pStyle w:val="ListNumberIndent"/>
        <w:numPr>
          <w:ilvl w:val="0"/>
          <w:numId w:val="19"/>
        </w:numPr>
        <w:ind w:left="2160"/>
      </w:pPr>
      <w:r>
        <w:t>Erroneous estimates by the Contractor of the value of the Work performed,</w:t>
      </w:r>
      <w:r>
        <w:t xml:space="preserve"> or other false </w:t>
      </w:r>
      <w:r>
        <w:t>statements in an application for payment</w:t>
      </w:r>
      <w:r>
        <w:t>;</w:t>
      </w:r>
    </w:p>
    <w:p w:rsidR="00E4078C" w:rsidRDefault="009760CB">
      <w:pPr>
        <w:pStyle w:val="ListNumberIndent"/>
        <w:numPr>
          <w:ilvl w:val="0"/>
          <w:numId w:val="19"/>
        </w:numPr>
        <w:ind w:left="2160"/>
      </w:pPr>
      <w:r>
        <w:t>Unauthorized deviati</w:t>
      </w:r>
      <w:r>
        <w:t>ons from the Contract Documents (including but not limited to Unresolved Notice</w:t>
      </w:r>
      <w:r>
        <w:t>s of Deviations (DSA Form 154)</w:t>
      </w:r>
      <w:r>
        <w:t>;</w:t>
      </w:r>
    </w:p>
    <w:p w:rsidR="00E4078C" w:rsidRDefault="009760CB">
      <w:pPr>
        <w:pStyle w:val="ListNumberIndent"/>
        <w:numPr>
          <w:ilvl w:val="0"/>
          <w:numId w:val="19"/>
        </w:numPr>
        <w:ind w:left="2160"/>
      </w:pPr>
      <w:r>
        <w:t>Failure of the Contractor to prosecute the Work in a timely manner in compliance with established progress</w:t>
      </w:r>
      <w:r>
        <w:t xml:space="preserve"> schedules and completion dates;</w:t>
      </w:r>
    </w:p>
    <w:p w:rsidR="00E4078C" w:rsidRDefault="009760CB">
      <w:pPr>
        <w:pStyle w:val="ListNumberIndent"/>
        <w:numPr>
          <w:ilvl w:val="0"/>
          <w:numId w:val="19"/>
        </w:numPr>
        <w:ind w:left="2160"/>
      </w:pPr>
      <w:r>
        <w:t>Failure to properly pay prevailing wages as defined in Labor Code section 1720, et seq.;</w:t>
      </w:r>
    </w:p>
    <w:p w:rsidR="00E4078C" w:rsidRDefault="009760CB">
      <w:pPr>
        <w:pStyle w:val="ListNumberIndent"/>
        <w:numPr>
          <w:ilvl w:val="0"/>
          <w:numId w:val="19"/>
        </w:numPr>
        <w:ind w:left="2160"/>
      </w:pPr>
      <w:r>
        <w:t>Failure to properly maintain or clean up the Site;</w:t>
      </w:r>
    </w:p>
    <w:p w:rsidR="00E4078C" w:rsidRDefault="009760CB">
      <w:pPr>
        <w:pStyle w:val="ListNumberIndent"/>
        <w:numPr>
          <w:ilvl w:val="0"/>
          <w:numId w:val="19"/>
        </w:numPr>
        <w:ind w:left="2160"/>
      </w:pPr>
      <w:r>
        <w:t>Payments to indemnify, defend, or hold harmless the District;</w:t>
      </w:r>
    </w:p>
    <w:p w:rsidR="00E4078C" w:rsidRDefault="009760CB">
      <w:pPr>
        <w:pStyle w:val="ListNumberIndent"/>
        <w:numPr>
          <w:ilvl w:val="0"/>
          <w:numId w:val="19"/>
        </w:numPr>
        <w:ind w:left="2160"/>
      </w:pPr>
      <w:bookmarkStart w:id="183" w:name="_Ref472595213"/>
      <w:r>
        <w:t>Any payments due to the District including</w:t>
      </w:r>
      <w:r>
        <w:t>,</w:t>
      </w:r>
      <w:r>
        <w:t xml:space="preserve"> but not li</w:t>
      </w:r>
      <w:r>
        <w:t>mited to</w:t>
      </w:r>
      <w:r>
        <w:t>,</w:t>
      </w:r>
      <w:r>
        <w:t xml:space="preserve"> payments for failed tests, or utilities changes or permits;</w:t>
      </w:r>
      <w:bookmarkEnd w:id="183"/>
      <w:r>
        <w:t xml:space="preserve"> </w:t>
      </w:r>
    </w:p>
    <w:p w:rsidR="00E4078C" w:rsidRDefault="009760CB">
      <w:pPr>
        <w:pStyle w:val="ListNumberIndent"/>
        <w:numPr>
          <w:ilvl w:val="0"/>
          <w:numId w:val="19"/>
        </w:numPr>
        <w:ind w:left="2160"/>
      </w:pPr>
      <w:r>
        <w:t xml:space="preserve">Failure to submit an acceptable schedule </w:t>
      </w:r>
      <w:r>
        <w:t xml:space="preserve">in accordance with Article </w:t>
      </w:r>
      <w:r>
        <w:t>9</w:t>
      </w:r>
      <w:r>
        <w:t>;</w:t>
      </w:r>
    </w:p>
    <w:p w:rsidR="00E4078C" w:rsidRDefault="009760CB">
      <w:pPr>
        <w:pStyle w:val="ListNumberIndent"/>
        <w:numPr>
          <w:ilvl w:val="0"/>
          <w:numId w:val="19"/>
        </w:numPr>
        <w:ind w:left="2160"/>
      </w:pPr>
      <w:r>
        <w:t>Failure to pay Subcontractor or supplier</w:t>
      </w:r>
      <w:r>
        <w:t>s</w:t>
      </w:r>
      <w:r>
        <w:t>;</w:t>
      </w:r>
    </w:p>
    <w:p w:rsidR="00E4078C" w:rsidRDefault="009760CB">
      <w:pPr>
        <w:pStyle w:val="ListNumberIndent"/>
        <w:numPr>
          <w:ilvl w:val="0"/>
          <w:numId w:val="19"/>
        </w:numPr>
        <w:ind w:left="2160"/>
      </w:pPr>
      <w:r>
        <w:lastRenderedPageBreak/>
        <w:t>Failure to secure warranties, including the cost to pay for warranties</w:t>
      </w:r>
    </w:p>
    <w:p w:rsidR="00E4078C" w:rsidRDefault="009760CB">
      <w:pPr>
        <w:pStyle w:val="ListNumberIndent"/>
        <w:numPr>
          <w:ilvl w:val="0"/>
          <w:numId w:val="19"/>
        </w:numPr>
        <w:ind w:left="2160"/>
      </w:pPr>
      <w:r>
        <w:t xml:space="preserve">Failure to provide release from material suppliers or </w:t>
      </w:r>
      <w:r>
        <w:t>Subcontractor</w:t>
      </w:r>
      <w:r>
        <w:t>s when requested to do so</w:t>
      </w:r>
    </w:p>
    <w:p w:rsidR="00E4078C" w:rsidRDefault="009760CB">
      <w:pPr>
        <w:pStyle w:val="ListNumberIndent"/>
        <w:numPr>
          <w:ilvl w:val="0"/>
          <w:numId w:val="19"/>
        </w:numPr>
        <w:ind w:left="2160"/>
      </w:pPr>
      <w:r>
        <w:t>Items d</w:t>
      </w:r>
      <w:r>
        <w:t xml:space="preserve">educted pursuant to Article </w:t>
      </w:r>
      <w:r>
        <w:t>17.6</w:t>
      </w:r>
    </w:p>
    <w:p w:rsidR="00E4078C" w:rsidRDefault="009760CB">
      <w:pPr>
        <w:pStyle w:val="ListNumberIndent"/>
        <w:numPr>
          <w:ilvl w:val="0"/>
          <w:numId w:val="19"/>
        </w:numPr>
        <w:ind w:left="2160"/>
      </w:pPr>
      <w:r>
        <w:t xml:space="preserve">Incomplete Punch List items under Article </w:t>
      </w:r>
      <w:r>
        <w:t>13.6</w:t>
      </w:r>
      <w:r>
        <w:t xml:space="preserve"> which have</w:t>
      </w:r>
      <w:r>
        <w:t xml:space="preserve"> gone through the Article </w:t>
      </w:r>
      <w:r>
        <w:t>12.2</w:t>
      </w:r>
      <w:r>
        <w:t xml:space="preserve"> </w:t>
      </w:r>
      <w:r>
        <w:t>process</w:t>
      </w:r>
    </w:p>
    <w:p w:rsidR="00E4078C" w:rsidRDefault="009760CB">
      <w:pPr>
        <w:pStyle w:val="ListNumberIndent"/>
        <w:numPr>
          <w:ilvl w:val="0"/>
          <w:numId w:val="19"/>
        </w:numPr>
        <w:ind w:left="2160"/>
      </w:pPr>
      <w:r>
        <w:t>Allowances that have not be</w:t>
      </w:r>
      <w:r>
        <w:t>en used</w:t>
      </w:r>
    </w:p>
    <w:p w:rsidR="00E4078C" w:rsidRDefault="009760CB">
      <w:pPr>
        <w:pStyle w:val="Heading2"/>
      </w:pPr>
      <w:bookmarkStart w:id="184" w:name="_Ref472595195"/>
      <w:r>
        <w:rPr>
          <w:u w:val="single"/>
        </w:rPr>
        <w:t>Reallocation of Withheld Amounts.</w:t>
      </w:r>
      <w:r>
        <w:t xml:space="preserve">  District may, in its discretion, apply any withheld amount to payment of outstanding claims or obliga</w:t>
      </w:r>
      <w:r>
        <w:t>tions</w:t>
      </w:r>
      <w:r>
        <w:t>.  In so doing, District shall make such payments on behalf of Contractor.  If any payment is so made by Di</w:t>
      </w:r>
      <w:r>
        <w:t xml:space="preserve">strict, then such amount shall be </w:t>
      </w:r>
      <w:r>
        <w:t xml:space="preserve">considered as a payment made under this CSA to Contractor </w:t>
      </w:r>
      <w:r>
        <w:t>and District shall not be liable to Contractor for such payments made in good faith.  Such payments may be made without prior judicial determination of claim or obl</w:t>
      </w:r>
      <w:r>
        <w:t>igation.  District will render Contractor an accounting of such funds disbursed on behalf of Contractor.</w:t>
      </w:r>
      <w:bookmarkEnd w:id="184"/>
    </w:p>
    <w:p w:rsidR="00E4078C" w:rsidRDefault="009760CB">
      <w:pPr>
        <w:pStyle w:val="Heading2"/>
        <w:numPr>
          <w:ilvl w:val="0"/>
          <w:numId w:val="0"/>
        </w:numPr>
        <w:ind w:left="1440"/>
      </w:pPr>
      <w:r>
        <w:t xml:space="preserve">If Contractor defaults or neglects to carry out the Work in accordance with the Contract Documents or fails to perform any provision thereof, District </w:t>
      </w:r>
      <w:r>
        <w:t>may, after ten (10) calendar days written notice to the Contractor and without prejudice to any other remedy make good such deficiencies.  The District shall adjust the total Contract price by reducing the amount thereof by the cost of making good such def</w:t>
      </w:r>
      <w:r>
        <w:t>iciencies.  If District deems it inexpedient to correct Work which is damaged, defective, or not done in accordance with Contract provisions, an equitable reduction in the Contract price (of at least 150% of the estimated reasonable value of the nonconform</w:t>
      </w:r>
      <w:r>
        <w:t>ing Work) shall be made therefor.</w:t>
      </w:r>
    </w:p>
    <w:p w:rsidR="00E4078C" w:rsidRDefault="009760CB">
      <w:pPr>
        <w:pStyle w:val="Heading2"/>
      </w:pPr>
      <w:r>
        <w:rPr>
          <w:u w:val="single"/>
        </w:rPr>
        <w:t>Payment After Cure.</w:t>
      </w:r>
      <w:r>
        <w:t xml:space="preserve">  When the grounds for </w:t>
      </w:r>
      <w:r>
        <w:t xml:space="preserve">declining approval </w:t>
      </w:r>
      <w:r>
        <w:t xml:space="preserve">are removed, payment shall be made for amounts withheld because of them.  No interest shall be paid on any </w:t>
      </w:r>
      <w:r>
        <w:t xml:space="preserve">retention or </w:t>
      </w:r>
      <w:r>
        <w:t>amounts withheld due to the failure of th</w:t>
      </w:r>
      <w:r>
        <w:t>e Contractor to perform in accordance with the terms and conditions of the Contract Documents.</w:t>
      </w:r>
    </w:p>
    <w:p w:rsidR="00E4078C" w:rsidRDefault="009760CB">
      <w:pPr>
        <w:pStyle w:val="Heading1"/>
      </w:pPr>
      <w:bookmarkStart w:id="185" w:name="_Toc256000032"/>
      <w:bookmarkStart w:id="186" w:name="_Toc365549843"/>
      <w:bookmarkStart w:id="187" w:name="_Toc472525911"/>
      <w:r>
        <w:t>NONCONFORMING WORK</w:t>
      </w:r>
      <w:bookmarkEnd w:id="185"/>
      <w:bookmarkEnd w:id="186"/>
      <w:bookmarkEnd w:id="187"/>
    </w:p>
    <w:p w:rsidR="00E4078C" w:rsidRDefault="009760CB">
      <w:pPr>
        <w:pStyle w:val="BodyTextFlush"/>
        <w:spacing w:before="200"/>
        <w:rPr>
          <w:sz w:val="20"/>
          <w:szCs w:val="20"/>
        </w:rPr>
      </w:pPr>
      <w:r>
        <w:rPr>
          <w:sz w:val="20"/>
          <w:szCs w:val="20"/>
        </w:rPr>
        <w:t>Contractor shall promptly remove from premises all Work identified by District as failing to conform to the Contract whether incorporated or n</w:t>
      </w:r>
      <w:r>
        <w:rPr>
          <w:sz w:val="20"/>
          <w:szCs w:val="20"/>
        </w:rPr>
        <w:t>ot.  Contractor shall promptly replace and re-execute its own Work to comply with the Contract without additional expense to District and shall bear the expense of making good all Work of other contractors destroyed or damaged by such removal or replacemen</w:t>
      </w:r>
      <w:r>
        <w:rPr>
          <w:sz w:val="20"/>
          <w:szCs w:val="20"/>
        </w:rPr>
        <w:t>t.</w:t>
      </w:r>
    </w:p>
    <w:p w:rsidR="00E4078C" w:rsidRDefault="009760CB">
      <w:pPr>
        <w:pStyle w:val="BodyTextFlush"/>
        <w:spacing w:before="200"/>
        <w:rPr>
          <w:sz w:val="20"/>
          <w:szCs w:val="20"/>
        </w:rPr>
      </w:pPr>
      <w:r>
        <w:rPr>
          <w:sz w:val="20"/>
          <w:szCs w:val="20"/>
        </w:rPr>
        <w:t xml:space="preserve">If Contractor does not remove such Work which has been identified by District as failing to conform to the Contract Documents within a reasonable time, fixed by written notice, District may remove it and may store the material at Contractor’s expense.  </w:t>
      </w:r>
      <w:r>
        <w:rPr>
          <w:sz w:val="20"/>
          <w:szCs w:val="20"/>
        </w:rPr>
        <w:t>If Contractor does not pay expenses of such removal within ten (10) calendar days’ time thereafter, District may, upon ten (10) calendar days’ written notice, sell such materials at auction or at private sale and shall account for net proceeds thereof, aft</w:t>
      </w:r>
      <w:r>
        <w:rPr>
          <w:sz w:val="20"/>
          <w:szCs w:val="20"/>
        </w:rPr>
        <w:t>er deducting all costs and expenses that should have been borne by Contractor.</w:t>
      </w:r>
    </w:p>
    <w:p w:rsidR="00E4078C" w:rsidRDefault="009760CB">
      <w:pPr>
        <w:pStyle w:val="Heading1"/>
      </w:pPr>
      <w:bookmarkStart w:id="188" w:name="_Toc256000033"/>
      <w:bookmarkStart w:id="189" w:name="_Toc365549844"/>
      <w:bookmarkStart w:id="190" w:name="_Toc472525912"/>
      <w:r>
        <w:t>SUBCONTRACTOR PAYMENTS</w:t>
      </w:r>
      <w:bookmarkEnd w:id="188"/>
      <w:bookmarkEnd w:id="189"/>
      <w:bookmarkEnd w:id="190"/>
    </w:p>
    <w:p w:rsidR="00E4078C" w:rsidRDefault="009760CB">
      <w:pPr>
        <w:pStyle w:val="Heading2"/>
      </w:pPr>
      <w:r>
        <w:rPr>
          <w:u w:val="single"/>
        </w:rPr>
        <w:t>Payments to Subcontractors.</w:t>
      </w:r>
      <w:r>
        <w:t xml:space="preserve">  No later than ten (10) days after receipt, or pursuant to Business and Professions Code </w:t>
      </w:r>
      <w:r>
        <w:t>section</w:t>
      </w:r>
      <w:r>
        <w:t xml:space="preserve"> 7108.5, the Contractor shall </w:t>
      </w:r>
      <w:r>
        <w:t>pay to each Subcontractor, out of the amount paid to the Contractor on account of such Subcontractor’s portion of the Work, the amount to which said Subcontractor is entitled.  The Contractor shall, by appropriate agreement with each Subcontractor, require</w:t>
      </w:r>
      <w:r>
        <w:t xml:space="preserve"> each Subcontractor to make payments to Sub-subcontractors in a similar manner. </w:t>
      </w:r>
    </w:p>
    <w:p w:rsidR="00E4078C" w:rsidRDefault="009760CB">
      <w:pPr>
        <w:pStyle w:val="Heading2"/>
      </w:pPr>
      <w:r>
        <w:rPr>
          <w:u w:val="single"/>
        </w:rPr>
        <w:lastRenderedPageBreak/>
        <w:t xml:space="preserve">No Obligation of District for Subcontractor Payment. </w:t>
      </w:r>
      <w:r>
        <w:t xml:space="preserve"> The District shall have no obligation to pay, or to see to the payment of, money to a Subcontractor except as may otherwi</w:t>
      </w:r>
      <w:r>
        <w:t>se be required by law.</w:t>
      </w:r>
    </w:p>
    <w:p w:rsidR="00E4078C" w:rsidRDefault="009760CB">
      <w:pPr>
        <w:pStyle w:val="Heading2"/>
      </w:pPr>
      <w:r>
        <w:rPr>
          <w:u w:val="single"/>
        </w:rPr>
        <w:t>Payment Not Constituting Approval or Acceptance.</w:t>
      </w:r>
      <w:r>
        <w:t xml:space="preserve">  A</w:t>
      </w:r>
      <w:r>
        <w:t>n approved request for a Progress Payment</w:t>
      </w:r>
      <w:r>
        <w:t xml:space="preserve">, a Certificate of Substantial Completion, or partial or entire use or occupancy of the Project by the District shall not constitute </w:t>
      </w:r>
      <w:r>
        <w:t>acceptance of Work that is not in accordance with the Contract Documents.</w:t>
      </w:r>
    </w:p>
    <w:p w:rsidR="00E4078C" w:rsidRDefault="009760CB">
      <w:pPr>
        <w:pStyle w:val="Heading2"/>
      </w:pPr>
      <w:r>
        <w:rPr>
          <w:u w:val="single"/>
        </w:rPr>
        <w:t>Joint Checks.</w:t>
      </w:r>
      <w:r w:rsidRPr="00F41D59">
        <w:t xml:space="preserve"> </w:t>
      </w:r>
      <w:r>
        <w:t xml:space="preserve"> District shall have the right, if necessary for the protection of the District, to issue joint checks made payable to the Contractor and Subcontractors and material or</w:t>
      </w:r>
      <w:r>
        <w:t xml:space="preserve"> equipment suppliers.  The joint check payees shall be responsible for the allocation and disbursement of funds included as part of any such joint payment.  In no event shall any joint check payment be construed to create any contract between the District </w:t>
      </w:r>
      <w:r>
        <w:t xml:space="preserve">and a Subcontractor of any tier, any obligation from the District to such Subcontractor, or rights in such Subcontractor against the District.  The District may choose to issue joint checks at District’s sole discretion and only after all the requirements </w:t>
      </w:r>
      <w:r>
        <w:t xml:space="preserve">of that particular school district and county are specifically met.  Some school districts cannot issue joint checks, so the ability to issue joint checks </w:t>
      </w:r>
      <w:r>
        <w:t xml:space="preserve">will </w:t>
      </w:r>
      <w:r>
        <w:t xml:space="preserve">depend on the </w:t>
      </w:r>
      <w:r>
        <w:t>D</w:t>
      </w:r>
      <w:r>
        <w:t xml:space="preserve">istrict and the specific circumstances.  </w:t>
      </w:r>
    </w:p>
    <w:p w:rsidR="00E4078C" w:rsidRDefault="009760CB">
      <w:pPr>
        <w:pStyle w:val="Heading1"/>
      </w:pPr>
      <w:bookmarkStart w:id="191" w:name="_Toc256000034"/>
      <w:bookmarkStart w:id="192" w:name="_Toc365549845"/>
      <w:bookmarkStart w:id="193" w:name="_Toc472525913"/>
      <w:bookmarkStart w:id="194" w:name="_Ref472588371"/>
      <w:bookmarkStart w:id="195" w:name="_Ref472589712"/>
      <w:r>
        <w:t>SEPARATE CONTRACTS</w:t>
      </w:r>
      <w:bookmarkEnd w:id="191"/>
      <w:bookmarkEnd w:id="192"/>
      <w:bookmarkEnd w:id="193"/>
      <w:bookmarkEnd w:id="194"/>
      <w:bookmarkEnd w:id="195"/>
    </w:p>
    <w:p w:rsidR="00E4078C" w:rsidRDefault="009760CB" w:rsidP="00C75D57">
      <w:pPr>
        <w:pStyle w:val="Heading2"/>
      </w:pPr>
      <w:r>
        <w:rPr>
          <w:u w:val="single"/>
        </w:rPr>
        <w:t>Reservation of Right</w:t>
      </w:r>
      <w:r>
        <w:rPr>
          <w:u w:val="single"/>
        </w:rPr>
        <w:t>s to have other Contractors on Site.</w:t>
      </w:r>
      <w:r w:rsidRPr="00343BD1">
        <w:t xml:space="preserve">  </w:t>
      </w:r>
      <w:r w:rsidRPr="00C75D57">
        <w:t>District reserves the right to let other contractors enter the Site to perform work as part of its use of the Site</w:t>
      </w:r>
      <w:r>
        <w:t xml:space="preserve">.  Contractor shall afford other contractors reasonable opportunity for the introduction and storage of </w:t>
      </w:r>
      <w:r>
        <w:t>their materials and the execution of their work and shall properly connect and coordinate the Project with the work of such Contractors.  Such contractors shall comply with all applicable State safety laws and regulations and shall provide a certificate of</w:t>
      </w:r>
      <w:r>
        <w:t xml:space="preserve"> insurance naming Contractor as additional insured</w:t>
      </w:r>
    </w:p>
    <w:p w:rsidR="00E4078C" w:rsidRDefault="009760CB">
      <w:pPr>
        <w:pStyle w:val="Heading2"/>
      </w:pPr>
      <w:r>
        <w:rPr>
          <w:u w:val="single"/>
        </w:rPr>
        <w:t>Notice of Coordination of Work.</w:t>
      </w:r>
      <w:r>
        <w:t xml:space="preserve">  If the proper execution of any part of the Contractor’s work on the Project depends upon the work of any such </w:t>
      </w:r>
      <w:r>
        <w:t>c</w:t>
      </w:r>
      <w:r>
        <w:t>ontractors, Contractor shall inspect and promptly report to D</w:t>
      </w:r>
      <w:r>
        <w:t xml:space="preserve">istrict any patent defects or other problems it identifies in such work that render it unsuitable for such proper execution and results.  Contractor is only required to </w:t>
      </w:r>
      <w:r>
        <w:t>inspect the work of such other c</w:t>
      </w:r>
      <w:r>
        <w:t xml:space="preserve">ontractors prior to commencing its own further work in </w:t>
      </w:r>
      <w:r>
        <w:t xml:space="preserve">connection with or in relation to that other work.  Further, Contractor is only expected to identify patent defects or other problems, and is not required to do any destructive testing or to monitor the </w:t>
      </w:r>
      <w:r>
        <w:t>progress of such work by other c</w:t>
      </w:r>
      <w:r>
        <w:t>ontractors prior to i</w:t>
      </w:r>
      <w:r>
        <w:t xml:space="preserve">ts completion.  In no event shall the work of such other </w:t>
      </w:r>
      <w:r>
        <w:t>c</w:t>
      </w:r>
      <w:r>
        <w:t>ontractors be covered by the warranty given by Contractor to the District, nor shall Contractor be required to provide insurance for such work.</w:t>
      </w:r>
    </w:p>
    <w:p w:rsidR="00E4078C" w:rsidRDefault="009760CB">
      <w:pPr>
        <w:pStyle w:val="Heading1"/>
      </w:pPr>
      <w:bookmarkStart w:id="196" w:name="_Toc256000035"/>
      <w:bookmarkStart w:id="197" w:name="_Toc365549846"/>
      <w:bookmarkStart w:id="198" w:name="_Toc472525914"/>
      <w:r>
        <w:t>USE OF PREMISES/SAFETY</w:t>
      </w:r>
      <w:bookmarkEnd w:id="196"/>
      <w:bookmarkEnd w:id="197"/>
      <w:bookmarkEnd w:id="198"/>
    </w:p>
    <w:p w:rsidR="00E4078C" w:rsidRDefault="009760CB">
      <w:pPr>
        <w:pStyle w:val="BodyTextFlush"/>
        <w:spacing w:before="200"/>
        <w:rPr>
          <w:sz w:val="20"/>
          <w:szCs w:val="20"/>
        </w:rPr>
      </w:pPr>
      <w:r>
        <w:rPr>
          <w:sz w:val="20"/>
          <w:szCs w:val="20"/>
        </w:rPr>
        <w:t>Contractor shall confine operat</w:t>
      </w:r>
      <w:r>
        <w:rPr>
          <w:sz w:val="20"/>
          <w:szCs w:val="20"/>
        </w:rPr>
        <w:t>ions at the Site to areas permitted by law, ordinances, permits and the Construction Documents and shall not unreasonably encumber the Site or existing facilities on the Site with any materials or equipment.  Contractor shall not load or permit any part of</w:t>
      </w:r>
      <w:r>
        <w:rPr>
          <w:sz w:val="20"/>
          <w:szCs w:val="20"/>
        </w:rPr>
        <w:t xml:space="preserve"> the work to be loaded with a weight so as to endanger the safety of persons or property at the Site. The Contractor shall maintain emergency first aid treatment for his employees which complies with the Federal Occupational Safety and Health Act of 1970 (</w:t>
      </w:r>
      <w:r>
        <w:rPr>
          <w:sz w:val="20"/>
          <w:szCs w:val="20"/>
        </w:rPr>
        <w:t>29 USC, section 651 et seq.).</w:t>
      </w:r>
    </w:p>
    <w:p w:rsidR="00E4078C" w:rsidRDefault="009760CB">
      <w:pPr>
        <w:pStyle w:val="Heading1"/>
      </w:pPr>
      <w:bookmarkStart w:id="199" w:name="_Toc256000036"/>
      <w:bookmarkStart w:id="200" w:name="_Toc365549847"/>
      <w:bookmarkStart w:id="201" w:name="_Toc472525915"/>
      <w:bookmarkStart w:id="202" w:name="_Ref472596856"/>
      <w:r>
        <w:t>CLEANING UP</w:t>
      </w:r>
      <w:bookmarkEnd w:id="199"/>
      <w:bookmarkEnd w:id="200"/>
      <w:bookmarkEnd w:id="201"/>
      <w:bookmarkEnd w:id="202"/>
    </w:p>
    <w:p w:rsidR="00E4078C" w:rsidRDefault="009760CB">
      <w:pPr>
        <w:pStyle w:val="Heading2"/>
      </w:pPr>
      <w:r>
        <w:rPr>
          <w:u w:val="single"/>
        </w:rPr>
        <w:t xml:space="preserve">Contractor’s Responsibility to Clean Up. </w:t>
      </w:r>
      <w:r>
        <w:t xml:space="preserve"> Contractor at all times shall keep premises free from debris such as waste, dust, excess water, storm water runoffs, rubbish, and excess materials and equipment.  Contracto</w:t>
      </w:r>
      <w:r>
        <w:t xml:space="preserve">r shall not leave debris under, in, or about the premises, but shall promptly remove same from the premises and dispose of it in a lawful manner.  Disposal receipts or dump tickets shall be furnished to the Architect within five (5) days of request.  </w:t>
      </w:r>
    </w:p>
    <w:p w:rsidR="00E4078C" w:rsidRDefault="009760CB">
      <w:pPr>
        <w:pStyle w:val="Heading2"/>
        <w:numPr>
          <w:ilvl w:val="0"/>
          <w:numId w:val="0"/>
        </w:numPr>
        <w:ind w:left="1440"/>
      </w:pPr>
      <w:r>
        <w:lastRenderedPageBreak/>
        <w:t>Cont</w:t>
      </w:r>
      <w:r>
        <w:t>ractor shall remove rubbish and debris resulting from the Work on a daily basis.  Contractor shall maintain the structures and Site in a clean and orderly condition at all</w:t>
      </w:r>
      <w:r>
        <w:t xml:space="preserve"> times until acceptance of the P</w:t>
      </w:r>
      <w:r>
        <w:t>roject by the District. Contractor shall keep its acc</w:t>
      </w:r>
      <w:r>
        <w:t>ess driveways and adjacent streets, sidewalks, gutters and drains free of rubbish, debris and excess water by cleaning and removal each day.  All concrete, sidewalks, and paths of travel shall be broom cleaned daily.</w:t>
      </w:r>
    </w:p>
    <w:p w:rsidR="00E4078C" w:rsidRDefault="009760CB">
      <w:pPr>
        <w:pStyle w:val="Heading2"/>
      </w:pPr>
      <w:r>
        <w:rPr>
          <w:u w:val="single"/>
        </w:rPr>
        <w:t xml:space="preserve">General Final Clean-Up.  </w:t>
      </w:r>
      <w:r>
        <w:t>Upon completio</w:t>
      </w:r>
      <w:r>
        <w:t>n of Work, Contractor shall employ experience workers or professional cleaners for final cleaning.  Clean each surface to the condition expected in a normal, commercial, building cleaning and maintenance program.</w:t>
      </w:r>
    </w:p>
    <w:p w:rsidR="00E4078C" w:rsidRDefault="009760CB">
      <w:pPr>
        <w:pStyle w:val="ListNumberIndent"/>
        <w:numPr>
          <w:ilvl w:val="0"/>
          <w:numId w:val="20"/>
        </w:numPr>
        <w:ind w:left="2160"/>
      </w:pPr>
      <w:r>
        <w:t xml:space="preserve">Clean interior and exterior of buildings, </w:t>
      </w:r>
      <w:r>
        <w:t>including fixtures, equipment, walls, floors, ceilings, roofs, window sills and ledges, horizontal projections, and any areas where debris has collected, so surfaces are free from foreign material or discoloration;</w:t>
      </w:r>
    </w:p>
    <w:p w:rsidR="00E4078C" w:rsidRDefault="009760CB">
      <w:pPr>
        <w:pStyle w:val="ListNumberIndent"/>
        <w:numPr>
          <w:ilvl w:val="0"/>
          <w:numId w:val="20"/>
        </w:numPr>
        <w:ind w:left="2160"/>
      </w:pPr>
      <w:r>
        <w:t>Clean the Project site.  The grounds shou</w:t>
      </w:r>
      <w:r>
        <w:t>ld be cleared of any Contractor equipment, raked clean of debris and trash removed.  Sweep paved areas broom clean.</w:t>
      </w:r>
    </w:p>
    <w:p w:rsidR="00E4078C" w:rsidRDefault="009760CB">
      <w:pPr>
        <w:pStyle w:val="ListNumberIndent"/>
        <w:numPr>
          <w:ilvl w:val="0"/>
          <w:numId w:val="20"/>
        </w:numPr>
        <w:ind w:left="2160"/>
      </w:pPr>
      <w:r>
        <w:t>Repair or replace any damaged materials.  Replace any chipped or broken glass.</w:t>
      </w:r>
    </w:p>
    <w:p w:rsidR="00E4078C" w:rsidRDefault="009760CB">
      <w:pPr>
        <w:pStyle w:val="ListNumberIndent"/>
        <w:numPr>
          <w:ilvl w:val="0"/>
          <w:numId w:val="20"/>
        </w:numPr>
        <w:ind w:left="2160"/>
      </w:pPr>
      <w:r>
        <w:t>Remove any and all stains.</w:t>
      </w:r>
    </w:p>
    <w:p w:rsidR="00E4078C" w:rsidRDefault="009760CB">
      <w:pPr>
        <w:pStyle w:val="ListNumberIndent"/>
        <w:numPr>
          <w:ilvl w:val="0"/>
          <w:numId w:val="20"/>
        </w:numPr>
        <w:ind w:left="2160"/>
      </w:pPr>
      <w:r>
        <w:t>Remove labels that aren’t permanen</w:t>
      </w:r>
      <w:r>
        <w:t>t labels.</w:t>
      </w:r>
    </w:p>
    <w:p w:rsidR="00E4078C" w:rsidRDefault="009760CB">
      <w:pPr>
        <w:pStyle w:val="ListNumberIndent"/>
        <w:numPr>
          <w:ilvl w:val="0"/>
          <w:numId w:val="20"/>
        </w:numPr>
        <w:ind w:left="2160"/>
      </w:pPr>
      <w:r>
        <w:t>Clean and polish all glass, plumbing fixtures, equipment, finish hardware and similar finish surfaces.  Remove any glazing compounds</w:t>
      </w:r>
    </w:p>
    <w:p w:rsidR="00E4078C" w:rsidRDefault="009760CB">
      <w:pPr>
        <w:pStyle w:val="ListNumberIndent"/>
        <w:numPr>
          <w:ilvl w:val="0"/>
          <w:numId w:val="20"/>
        </w:numPr>
        <w:ind w:left="2160"/>
      </w:pPr>
      <w:r>
        <w:t>Remove temporary utilities, fencing, barricades, planking, sanitary facilities and similar temporary facilities f</w:t>
      </w:r>
      <w:r>
        <w:t>rom Site.</w:t>
      </w:r>
    </w:p>
    <w:p w:rsidR="00E4078C" w:rsidRDefault="009760CB">
      <w:pPr>
        <w:pStyle w:val="ListNumberIndent"/>
        <w:numPr>
          <w:ilvl w:val="0"/>
          <w:numId w:val="20"/>
        </w:numPr>
        <w:ind w:left="2160"/>
      </w:pPr>
      <w:r>
        <w:t>Remove temporary film that remains on any hardware, doors or other surfaces.</w:t>
      </w:r>
    </w:p>
    <w:p w:rsidR="00E4078C" w:rsidRDefault="009760CB">
      <w:pPr>
        <w:pStyle w:val="ListNumberIndent"/>
        <w:numPr>
          <w:ilvl w:val="0"/>
          <w:numId w:val="20"/>
        </w:numPr>
        <w:ind w:left="2160"/>
      </w:pPr>
      <w:r>
        <w:t xml:space="preserve">Seal the bottom and tops of all doors </w:t>
      </w:r>
    </w:p>
    <w:p w:rsidR="00E4078C" w:rsidRDefault="009760CB">
      <w:pPr>
        <w:pStyle w:val="ListNumberIndent"/>
        <w:numPr>
          <w:ilvl w:val="0"/>
          <w:numId w:val="20"/>
        </w:numPr>
        <w:ind w:left="2160"/>
      </w:pPr>
      <w:r>
        <w:t xml:space="preserve">Special Clean-Up.  </w:t>
      </w:r>
    </w:p>
    <w:p w:rsidR="00E4078C" w:rsidRDefault="009760CB">
      <w:pPr>
        <w:pStyle w:val="ListNumberIndent"/>
        <w:ind w:left="2160" w:hanging="720"/>
      </w:pPr>
      <w:r>
        <w:t>In addition to the general cleaning, the following special cleaning shall be done at the completion of the Wor</w:t>
      </w:r>
      <w:r>
        <w:t>k in accordance with the specifications including, but not limited to:</w:t>
      </w:r>
    </w:p>
    <w:p w:rsidR="00E4078C" w:rsidRDefault="009760CB" w:rsidP="00F91733">
      <w:pPr>
        <w:pStyle w:val="ListNumberIndent"/>
        <w:numPr>
          <w:ilvl w:val="0"/>
          <w:numId w:val="0"/>
        </w:numPr>
        <w:ind w:left="2520" w:hanging="360"/>
      </w:pPr>
      <w:r>
        <w:t>a.</w:t>
      </w:r>
      <w:r>
        <w:tab/>
      </w:r>
      <w:r>
        <w:t>Remove putty stains from glazing, then wash and polish glazing.</w:t>
      </w:r>
    </w:p>
    <w:p w:rsidR="00E4078C" w:rsidRDefault="009760CB" w:rsidP="00F91733">
      <w:pPr>
        <w:pStyle w:val="ListNumberIndent"/>
        <w:numPr>
          <w:ilvl w:val="0"/>
          <w:numId w:val="0"/>
        </w:numPr>
        <w:ind w:left="2520" w:hanging="360"/>
      </w:pPr>
      <w:r>
        <w:t>b.</w:t>
      </w:r>
      <w:r>
        <w:tab/>
      </w:r>
      <w:r>
        <w:t>Remove marks, stains, fingerprints and other soil or dirt from painted, stained or decorated work.</w:t>
      </w:r>
    </w:p>
    <w:p w:rsidR="00E4078C" w:rsidRDefault="009760CB" w:rsidP="00F91733">
      <w:pPr>
        <w:pStyle w:val="ListNumberIndent"/>
        <w:numPr>
          <w:ilvl w:val="0"/>
          <w:numId w:val="0"/>
        </w:numPr>
        <w:ind w:left="2520" w:hanging="360"/>
      </w:pPr>
      <w:r>
        <w:t>c.</w:t>
      </w:r>
      <w:r>
        <w:tab/>
      </w:r>
      <w:r>
        <w:t>Remove tempor</w:t>
      </w:r>
      <w:r>
        <w:t>ary protection and clean and polish floors and waxed surfaces.</w:t>
      </w:r>
    </w:p>
    <w:p w:rsidR="00E4078C" w:rsidRDefault="009760CB" w:rsidP="00F91733">
      <w:pPr>
        <w:pStyle w:val="ListNumberIndent"/>
        <w:numPr>
          <w:ilvl w:val="0"/>
          <w:numId w:val="0"/>
        </w:numPr>
        <w:ind w:left="2520" w:hanging="360"/>
      </w:pPr>
      <w:r>
        <w:t>d.</w:t>
      </w:r>
      <w:r>
        <w:tab/>
      </w:r>
      <w:r>
        <w:t>Clean and polish hardware and plumbing trim; remove stains, dust, dirt, plaster and paint</w:t>
      </w:r>
    </w:p>
    <w:p w:rsidR="00E4078C" w:rsidRDefault="009760CB" w:rsidP="00F91733">
      <w:pPr>
        <w:pStyle w:val="ListNumberIndent"/>
        <w:numPr>
          <w:ilvl w:val="0"/>
          <w:numId w:val="0"/>
        </w:numPr>
        <w:ind w:left="2520" w:hanging="360"/>
      </w:pPr>
      <w:r>
        <w:t>e.</w:t>
      </w:r>
      <w:r>
        <w:tab/>
      </w:r>
      <w:r>
        <w:t>Wipe surfaces of mechanical and electrical equipment.</w:t>
      </w:r>
    </w:p>
    <w:p w:rsidR="00E4078C" w:rsidRDefault="009760CB" w:rsidP="00F91733">
      <w:pPr>
        <w:pStyle w:val="ListNumberIndent"/>
        <w:numPr>
          <w:ilvl w:val="0"/>
          <w:numId w:val="0"/>
        </w:numPr>
        <w:ind w:left="2520" w:hanging="360"/>
      </w:pPr>
      <w:r>
        <w:t>f.</w:t>
      </w:r>
      <w:r>
        <w:tab/>
      </w:r>
      <w:r>
        <w:t xml:space="preserve">Remove spots, soil, plaster and paint </w:t>
      </w:r>
      <w:r>
        <w:t>from tile work, and wash tile.</w:t>
      </w:r>
    </w:p>
    <w:p w:rsidR="00E4078C" w:rsidRDefault="009760CB" w:rsidP="00F91733">
      <w:pPr>
        <w:pStyle w:val="ListNumberIndent"/>
        <w:numPr>
          <w:ilvl w:val="0"/>
          <w:numId w:val="0"/>
        </w:numPr>
        <w:ind w:left="2520" w:hanging="360"/>
      </w:pPr>
      <w:r>
        <w:t>g.</w:t>
      </w:r>
      <w:r>
        <w:tab/>
      </w:r>
      <w:r>
        <w:t>Clean all fixtures and equipment, remove excess lubrication, clean light fixtures and lamps, polish metal surfaces.</w:t>
      </w:r>
    </w:p>
    <w:p w:rsidR="00E4078C" w:rsidRDefault="009760CB" w:rsidP="00F91733">
      <w:pPr>
        <w:pStyle w:val="ListNumberIndent"/>
        <w:numPr>
          <w:ilvl w:val="0"/>
          <w:numId w:val="0"/>
        </w:numPr>
        <w:ind w:left="2520" w:hanging="360"/>
      </w:pPr>
      <w:r>
        <w:t>h.</w:t>
      </w:r>
      <w:r>
        <w:tab/>
      </w:r>
      <w:r>
        <w:t>Vacuum-clean carpeted surfaces.</w:t>
      </w:r>
    </w:p>
    <w:p w:rsidR="00E4078C" w:rsidRDefault="009760CB" w:rsidP="00F91733">
      <w:pPr>
        <w:pStyle w:val="ListNumberIndent"/>
        <w:numPr>
          <w:ilvl w:val="0"/>
          <w:numId w:val="0"/>
        </w:numPr>
        <w:ind w:left="2520" w:hanging="360"/>
      </w:pPr>
      <w:r>
        <w:lastRenderedPageBreak/>
        <w:t>i.</w:t>
      </w:r>
      <w:r>
        <w:tab/>
      </w:r>
      <w:r>
        <w:t>Remove debris from roofs, down spout and drainage system.</w:t>
      </w:r>
    </w:p>
    <w:p w:rsidR="00E4078C" w:rsidRDefault="009760CB">
      <w:pPr>
        <w:pStyle w:val="Heading2"/>
      </w:pPr>
      <w:r>
        <w:rPr>
          <w:u w:val="single"/>
        </w:rPr>
        <w:t>Failure to</w:t>
      </w:r>
      <w:r>
        <w:rPr>
          <w:u w:val="single"/>
        </w:rPr>
        <w:t xml:space="preserve"> Cleanup.</w:t>
      </w:r>
      <w:r>
        <w:t xml:space="preserve">  If the Contractor fails to clean up as provided in the Contract Documents, the District may do so, and the cost thereof shall be the responsibility of the Contractor pursuant to Article </w:t>
      </w:r>
      <w:r>
        <w:t>12.2</w:t>
      </w:r>
      <w:r>
        <w:t xml:space="preserve"> and seek a Deductive Change Order.  </w:t>
      </w:r>
    </w:p>
    <w:p w:rsidR="00E4078C" w:rsidRDefault="009760CB">
      <w:pPr>
        <w:pStyle w:val="Heading1"/>
      </w:pPr>
      <w:bookmarkStart w:id="203" w:name="_Toc256000037"/>
      <w:bookmarkStart w:id="204" w:name="_Toc365549848"/>
      <w:bookmarkStart w:id="205" w:name="_Toc472525916"/>
      <w:r>
        <w:t>INSURANCE</w:t>
      </w:r>
      <w:bookmarkEnd w:id="203"/>
      <w:bookmarkEnd w:id="204"/>
      <w:bookmarkEnd w:id="205"/>
    </w:p>
    <w:p w:rsidR="00E4078C" w:rsidRDefault="009760CB">
      <w:pPr>
        <w:pStyle w:val="Heading2"/>
      </w:pPr>
      <w:r>
        <w:rPr>
          <w:u w:val="single"/>
        </w:rPr>
        <w:t>Insuran</w:t>
      </w:r>
      <w:r>
        <w:rPr>
          <w:u w:val="single"/>
        </w:rPr>
        <w:t>ce Requirements.</w:t>
      </w:r>
      <w:r>
        <w:t xml:space="preserve">  Before the commencement of the Work, the Contractor shall purchase from and maintain in a company or companies lawfully authorized to do business in California as admitted carriers with a financial rating of at least an A status as rated </w:t>
      </w:r>
      <w:r>
        <w:t>in the most recent edition of Best’s Insurance Reports or as otherwise amended in these Contract Documents, such insurance as will protect the District from claims set forth below, which may arise out of or result from the Contractor’s operations under the</w:t>
      </w:r>
      <w:r>
        <w:t xml:space="preserve"> Contract and for which the Contractor may be legally liable, whether such operations are by the Contractor, by a Subcontractor, by anyone directly or indirectly employed by any of them, or by anyone for whose acts any of them may be liable:</w:t>
      </w:r>
    </w:p>
    <w:p w:rsidR="00E4078C" w:rsidRDefault="009760CB">
      <w:pPr>
        <w:pStyle w:val="ListNumberIndent"/>
        <w:numPr>
          <w:ilvl w:val="0"/>
          <w:numId w:val="21"/>
        </w:numPr>
        <w:ind w:left="2160"/>
      </w:pPr>
      <w:r>
        <w:t>Claims for dam</w:t>
      </w:r>
      <w:r>
        <w:t>ages because of bodily injury, sickness, disease, or death of any person District would require indemnification and coverage for employee claim;</w:t>
      </w:r>
    </w:p>
    <w:p w:rsidR="00E4078C" w:rsidRDefault="009760CB">
      <w:pPr>
        <w:pStyle w:val="ListNumberIndent"/>
        <w:numPr>
          <w:ilvl w:val="0"/>
          <w:numId w:val="21"/>
        </w:numPr>
        <w:ind w:left="2160"/>
      </w:pPr>
      <w:r>
        <w:t xml:space="preserve">Claims for damages insured by usual personal injury liability coverage, which are sustained by a person as a </w:t>
      </w:r>
      <w:r>
        <w:t>result of an offense directly or indirectly related to employment of such person by the Contractor or by another person;</w:t>
      </w:r>
    </w:p>
    <w:p w:rsidR="00E4078C" w:rsidRDefault="009760CB">
      <w:pPr>
        <w:pStyle w:val="ListNumberIndent"/>
        <w:numPr>
          <w:ilvl w:val="0"/>
          <w:numId w:val="21"/>
        </w:numPr>
        <w:ind w:left="2160"/>
      </w:pPr>
      <w:r>
        <w:t>Claims for damages because of injury or destruction of tangible property, including loss of use resulting therefrom, arising from opera</w:t>
      </w:r>
      <w:r>
        <w:t>tions under the Contract Documents;</w:t>
      </w:r>
    </w:p>
    <w:p w:rsidR="00E4078C" w:rsidRDefault="009760CB">
      <w:pPr>
        <w:pStyle w:val="ListNumberIndent"/>
        <w:numPr>
          <w:ilvl w:val="0"/>
          <w:numId w:val="21"/>
        </w:numPr>
        <w:ind w:left="2160"/>
      </w:pPr>
      <w:r>
        <w:t>Claims for damages because of bodily injury, death of a person, or property damage arising out of the ownership, maintenance, or use of a motor vehicle, all mobile equipment, and vehicles moving under their own power and</w:t>
      </w:r>
      <w:r>
        <w:t xml:space="preserve"> engaged in the Work;</w:t>
      </w:r>
    </w:p>
    <w:p w:rsidR="00E4078C" w:rsidRDefault="009760CB">
      <w:pPr>
        <w:pStyle w:val="ListNumberIndent"/>
        <w:numPr>
          <w:ilvl w:val="0"/>
          <w:numId w:val="21"/>
        </w:numPr>
        <w:ind w:left="2160"/>
      </w:pPr>
      <w:r>
        <w:t>Claims involving contractual liability applicable to the Contractor’s obligations under the Contract Documents, including liability assumed by and the indemnity and defense obligations of the Contractor and the Subcontractors; and</w:t>
      </w:r>
    </w:p>
    <w:p w:rsidR="00E4078C" w:rsidRDefault="009760CB">
      <w:pPr>
        <w:pStyle w:val="ListNumberIndent"/>
        <w:numPr>
          <w:ilvl w:val="0"/>
          <w:numId w:val="21"/>
        </w:numPr>
        <w:ind w:left="2160"/>
      </w:pPr>
      <w:r>
        <w:t>Cla</w:t>
      </w:r>
      <w:r>
        <w:t>ims involving Completed Operations, Independent Contractors’ coverage, and Broad Form property damage, without any exclusions for collapse, explosion, demolition, underground coverage, and excavating.  (XCU)</w:t>
      </w:r>
    </w:p>
    <w:p w:rsidR="00E4078C" w:rsidRDefault="009760CB">
      <w:pPr>
        <w:pStyle w:val="ListNumberIndent"/>
        <w:numPr>
          <w:ilvl w:val="0"/>
          <w:numId w:val="21"/>
        </w:numPr>
        <w:ind w:left="2160"/>
      </w:pPr>
      <w:r>
        <w:t xml:space="preserve">Claims involving sudden or accidental discharge </w:t>
      </w:r>
      <w:r>
        <w:t>of contaminants or pollutants.</w:t>
      </w:r>
    </w:p>
    <w:p w:rsidR="00E4078C" w:rsidRDefault="009760CB">
      <w:pPr>
        <w:pStyle w:val="Heading2"/>
      </w:pPr>
      <w:r>
        <w:rPr>
          <w:u w:val="single"/>
        </w:rPr>
        <w:t>Subcontractor Insurance Requirements.</w:t>
      </w:r>
      <w:r>
        <w:t xml:space="preserve">  The Contractor shall require its Subcontractors to take out and maintain similar public liability insurance and property damage insurance required under this Article in like amounts.  A </w:t>
      </w:r>
      <w:r>
        <w:t>“claims made” or modified “occurrence” policy shall not satisfy the requirements of this Article without prior written approval of the District.</w:t>
      </w:r>
    </w:p>
    <w:p w:rsidR="00E4078C" w:rsidRDefault="009760CB">
      <w:pPr>
        <w:pStyle w:val="Heading2"/>
      </w:pPr>
      <w:r>
        <w:rPr>
          <w:u w:val="single"/>
        </w:rPr>
        <w:t xml:space="preserve">Additional Insured Endorsement Requirements. </w:t>
      </w:r>
      <w:r>
        <w:t xml:space="preserve"> The Contractor shall name, on any policy of insurance required un</w:t>
      </w:r>
      <w:r>
        <w:t>der this Article, the District, Architect, Inspector, the State of California, their officers, employees, agents and independent contractors as additional insureds.  Subcontractors shall name the Contractor, the District, Architect, Inspector, the State of</w:t>
      </w:r>
      <w:r>
        <w:t xml:space="preserve"> California, their officers, employees, agents and independent contractors as additional insureds.  The Additional Insured Endorsement included on all such insurance policies shall be an ISO CG 20 33 (04/813), or an ISO CG 20 38 (04/13) and ISO CG 20 37 (0</w:t>
      </w:r>
      <w:r>
        <w:t>4/13) or their equivalent as determined by the District in its sole discretion, and must state that coverage is afforded the additional insured with respect to claims arising out of operations performed by or on behalf of the insured.  If the additional in</w:t>
      </w:r>
      <w:r>
        <w:t xml:space="preserve">sureds have other insurance which is applicable to the loss, such other insurance shall </w:t>
      </w:r>
      <w:r>
        <w:lastRenderedPageBreak/>
        <w:t>be on an excess or contingent basis.  The insurance provided by the Contractor pursuant to this Article must be designated in the policy as primary to any insurance obt</w:t>
      </w:r>
      <w:r>
        <w:t>ained by the District.  The amount of the insurer’s liability shall not be reduced by the existence of such other insurance.</w:t>
      </w:r>
    </w:p>
    <w:p w:rsidR="00E4078C" w:rsidRDefault="009760CB">
      <w:pPr>
        <w:pStyle w:val="Heading2"/>
      </w:pPr>
      <w:r>
        <w:t>Specific Insurance Requirements</w:t>
      </w:r>
    </w:p>
    <w:p w:rsidR="00E4078C" w:rsidRDefault="009760CB">
      <w:pPr>
        <w:pStyle w:val="Heading3"/>
      </w:pPr>
      <w:r>
        <w:t xml:space="preserve">Contractor shall take out and maintain and shall require all </w:t>
      </w:r>
      <w:r>
        <w:t>Subcontractor</w:t>
      </w:r>
      <w:r>
        <w:t>s, if any, whether primar</w:t>
      </w:r>
      <w:r>
        <w:t>y or secondary, to take out and maintain:</w:t>
      </w:r>
    </w:p>
    <w:p w:rsidR="00E4078C" w:rsidRDefault="009760CB">
      <w:pPr>
        <w:pStyle w:val="Heading3"/>
      </w:pPr>
      <w:r>
        <w:t xml:space="preserve">Comprehensive General Liability Insurance with a combined single limit per occurrence of not less than $2,000,000.00 or Commercial General Liability Insurance (including automobile insurance) which provides limits </w:t>
      </w:r>
      <w:r>
        <w:t>of not less than:</w:t>
      </w:r>
    </w:p>
    <w:p w:rsidR="00E4078C" w:rsidRDefault="009760CB">
      <w:pPr>
        <w:pStyle w:val="ListNumberIndent"/>
        <w:numPr>
          <w:ilvl w:val="0"/>
          <w:numId w:val="22"/>
        </w:numPr>
        <w:ind w:left="3060" w:hanging="630"/>
      </w:pPr>
      <w:r>
        <w:t>Per occurrence (combined single limit)</w:t>
      </w:r>
      <w:r>
        <w:tab/>
      </w:r>
      <w:r>
        <w:tab/>
        <w:t>$1,000,000.00</w:t>
      </w:r>
    </w:p>
    <w:p w:rsidR="00E4078C" w:rsidRDefault="009760CB">
      <w:pPr>
        <w:pStyle w:val="ListNumberIndent"/>
        <w:numPr>
          <w:ilvl w:val="0"/>
          <w:numId w:val="22"/>
        </w:numPr>
        <w:ind w:left="3060" w:hanging="630"/>
      </w:pPr>
      <w:r>
        <w:t xml:space="preserve">Project Specific Aggregate (for this </w:t>
      </w:r>
      <w:r>
        <w:t>Project</w:t>
      </w:r>
      <w:r>
        <w:t xml:space="preserve"> only)</w:t>
      </w:r>
      <w:r>
        <w:tab/>
        <w:t>$2,000,000.00</w:t>
      </w:r>
    </w:p>
    <w:p w:rsidR="00E4078C" w:rsidRDefault="009760CB">
      <w:pPr>
        <w:pStyle w:val="ListNumberIndent"/>
        <w:numPr>
          <w:ilvl w:val="0"/>
          <w:numId w:val="22"/>
        </w:numPr>
        <w:ind w:left="3060" w:hanging="630"/>
      </w:pPr>
      <w:r>
        <w:t>Products and Completed Operations</w:t>
      </w:r>
      <w:r>
        <w:tab/>
      </w:r>
      <w:r>
        <w:tab/>
        <w:t>$1,000,000.00</w:t>
      </w:r>
    </w:p>
    <w:p w:rsidR="00E4078C" w:rsidRDefault="009760CB">
      <w:pPr>
        <w:pStyle w:val="ListNumberIndent"/>
        <w:numPr>
          <w:ilvl w:val="0"/>
          <w:numId w:val="22"/>
        </w:numPr>
        <w:ind w:left="3060" w:hanging="630"/>
      </w:pPr>
      <w:r>
        <w:t>Personal and Advertising Injury Limit</w:t>
      </w:r>
      <w:r>
        <w:tab/>
      </w:r>
      <w:r>
        <w:tab/>
        <w:t>$1,000,000.00</w:t>
      </w:r>
    </w:p>
    <w:p w:rsidR="00E4078C" w:rsidRDefault="009760CB">
      <w:pPr>
        <w:pStyle w:val="Heading3"/>
      </w:pPr>
      <w:r>
        <w:t>Insurance Coverin</w:t>
      </w:r>
      <w:r>
        <w:t>g Special Hazards.  The following Special hazards shall be covered by riders or riders to above mentioned public liability insurance or property damage insurance policy or policies of insurance, in amounts as follows:</w:t>
      </w:r>
    </w:p>
    <w:p w:rsidR="00E4078C" w:rsidRDefault="009760CB">
      <w:pPr>
        <w:pStyle w:val="ListNumberIndent"/>
        <w:numPr>
          <w:ilvl w:val="0"/>
          <w:numId w:val="23"/>
        </w:numPr>
        <w:ind w:left="3060" w:hanging="630"/>
      </w:pPr>
      <w:r>
        <w:t>Automotive and truck where operated in</w:t>
      </w:r>
      <w:r>
        <w:t xml:space="preserve"> amounts</w:t>
      </w:r>
      <w:r>
        <w:tab/>
      </w:r>
      <w:r>
        <w:tab/>
        <w:t>$1,000,000.00</w:t>
      </w:r>
    </w:p>
    <w:p w:rsidR="00E4078C" w:rsidRDefault="009760CB">
      <w:pPr>
        <w:pStyle w:val="ListNumberIndent"/>
        <w:numPr>
          <w:ilvl w:val="0"/>
          <w:numId w:val="23"/>
        </w:numPr>
        <w:ind w:left="3060" w:hanging="630"/>
      </w:pPr>
      <w:r>
        <w:t>Material Hoist where used in amounts</w:t>
      </w:r>
      <w:r>
        <w:tab/>
      </w:r>
      <w:r>
        <w:tab/>
      </w:r>
      <w:r>
        <w:tab/>
        <w:t>$1,000,000.00</w:t>
      </w:r>
    </w:p>
    <w:p w:rsidR="00E4078C" w:rsidRDefault="009760CB">
      <w:pPr>
        <w:pStyle w:val="ListNumberIndent"/>
        <w:numPr>
          <w:ilvl w:val="0"/>
          <w:numId w:val="23"/>
        </w:numPr>
        <w:ind w:left="3060" w:hanging="630"/>
      </w:pPr>
      <w:r>
        <w:t>Explosion, Collapse and Underground (XCU coverage)</w:t>
      </w:r>
      <w:r>
        <w:tab/>
        <w:t>$1,000,000.00</w:t>
      </w:r>
    </w:p>
    <w:p w:rsidR="00E4078C" w:rsidRDefault="009760CB">
      <w:pPr>
        <w:pStyle w:val="ListNumberIndent"/>
        <w:numPr>
          <w:ilvl w:val="0"/>
          <w:numId w:val="23"/>
        </w:numPr>
        <w:ind w:left="3060" w:hanging="630"/>
      </w:pPr>
      <w:r>
        <w:t>In addition, provide Excess Liability Insurance coverage in the amount of Five Million Dollars ($5,000,000.00).</w:t>
      </w:r>
    </w:p>
    <w:p w:rsidR="00E4078C" w:rsidRDefault="009760CB">
      <w:pPr>
        <w:pStyle w:val="Heading2"/>
      </w:pPr>
      <w:r>
        <w:rPr>
          <w:u w:val="single"/>
        </w:rPr>
        <w:t>Wo</w:t>
      </w:r>
      <w:r>
        <w:rPr>
          <w:u w:val="single"/>
        </w:rPr>
        <w:t>rkers’ Compensation Insurance</w:t>
      </w:r>
      <w:r>
        <w:t xml:space="preserve">.  During the term of this Contract, the Contractor shall provide workers’ compensation insurance </w:t>
      </w:r>
      <w:r>
        <w:t xml:space="preserve">(not less than $1M) </w:t>
      </w:r>
      <w:r>
        <w:t>for all of the Contractor’s employees engaged in Work under this Contract on or at the Site of the Project an</w:t>
      </w:r>
      <w:r>
        <w:t>d, in case any of the Contractor’s Work is subcontracted, the Contractor shall require the Subcontractor to provide workers’ compensation insurance</w:t>
      </w:r>
      <w:r>
        <w:t xml:space="preserve"> (not less than $1M)</w:t>
      </w:r>
      <w:r>
        <w:t xml:space="preserve"> for all the Subcontractor’s employees engaged in Work under the subcontract.  Any class </w:t>
      </w:r>
      <w:r>
        <w:t>of employee or employees not covered by a Subcontractor’s insurance shall be covered by the Contractor’s insurance.  In case any class of employees engaged in Work under this Contract on or at the Site of the Project is not protected under the Workers’ Com</w:t>
      </w:r>
      <w:r>
        <w:t xml:space="preserve">pensation laws, the Contractor shall provide or cause a Subcontractor to provide adequate insurance coverage for the protection of those employees not otherwise protected.  The Contractor shall file with the District certificates of insurance and in </w:t>
      </w:r>
      <w:r>
        <w:t>comply</w:t>
      </w:r>
      <w:r>
        <w:t xml:space="preserve"> </w:t>
      </w:r>
      <w:r>
        <w:t>with Labor Code § 3700.</w:t>
      </w:r>
    </w:p>
    <w:p w:rsidR="00E4078C" w:rsidRDefault="009760CB">
      <w:pPr>
        <w:pStyle w:val="Heading2"/>
        <w:rPr>
          <w:u w:val="single"/>
        </w:rPr>
      </w:pPr>
      <w:r>
        <w:rPr>
          <w:u w:val="single"/>
        </w:rPr>
        <w:t>Builder’s Risk/All Risk</w:t>
      </w:r>
    </w:p>
    <w:p w:rsidR="00E4078C" w:rsidRDefault="009760CB" w:rsidP="00385CD0">
      <w:pPr>
        <w:pStyle w:val="Heading3"/>
      </w:pPr>
      <w:r>
        <w:rPr>
          <w:i/>
        </w:rPr>
        <w:t>Course-of-Construction Insurance Requirements.</w:t>
      </w:r>
      <w:r>
        <w:t xml:space="preserve">  </w:t>
      </w:r>
      <w:r>
        <w:t>T</w:t>
      </w:r>
      <w:r>
        <w:t>he Contractor, during the progress of the Work and until final acceptance of the Work by District upon completion of the entire Contract, shall maintain Builder’s Risk, Course of Construction or similar first party property coverage issued on a replacement</w:t>
      </w:r>
      <w:r>
        <w:t xml:space="preserve"> value basis consistent with the total replacement cost of the structures where work is being performed inclusive of all Work for the Project included within the Contract Documents.  Coverage is to insure against all risks of accidental direct physical los</w:t>
      </w:r>
      <w:r>
        <w:t xml:space="preserve">s, and must include, by the basic grant of coverage or by endorsement, the perils of vandalism, malicious mischief (both </w:t>
      </w:r>
      <w:r>
        <w:lastRenderedPageBreak/>
        <w:t>without any limitation regarding vacancy or occupancy), fire, sprinkler leakage, civil authority, sonic boom, earthquake, flood, collap</w:t>
      </w:r>
      <w:r>
        <w:t>se, wind, lightning, smoke and riot.  The coverage must include debris removal, demolition, increased costs due to enforcement of building ordinance and law in the repair and replacement of damage and undamaged portions of the property, and reasonable cost</w:t>
      </w:r>
      <w:r>
        <w:t xml:space="preserve">s for the Architect’s and engineering services and expenses required as a result of any insured loss upon the Work and Project which is the subject of the Contract Documents, including the underlying structure where Work is being performed, completed Work </w:t>
      </w:r>
      <w:r>
        <w:t>and Work in progress, to the full insurable value thereof.  Such insurance shall include the District and the Architect as additional named insureds, and any other person with an insurable interest as designated by the District.</w:t>
      </w:r>
    </w:p>
    <w:p w:rsidR="00E4078C" w:rsidRDefault="009760CB">
      <w:pPr>
        <w:pStyle w:val="Heading3"/>
        <w:numPr>
          <w:ilvl w:val="0"/>
          <w:numId w:val="0"/>
        </w:numPr>
        <w:ind w:left="2520"/>
      </w:pPr>
      <w:r>
        <w:t>The Contractor shall submit</w:t>
      </w:r>
      <w:r>
        <w:t xml:space="preserve"> to the District for its approval all items deemed to be uninsurable.  The risk of the damage to the Work due to the perils covered by the “Builder’s Risk/All Risk” Insurance, as well as any other hazard which might result in damage to the Work, is that of</w:t>
      </w:r>
      <w:r>
        <w:t xml:space="preserve"> the Contractor and the surety, and no claims for such loss or damage shall be recognized by the District nor will such loss or damage excuse the complete and satisfactory performance of the Contract by the Contractor.</w:t>
      </w:r>
    </w:p>
    <w:p w:rsidR="00E4078C" w:rsidRDefault="009760CB">
      <w:pPr>
        <w:pStyle w:val="Heading2"/>
      </w:pPr>
      <w:r>
        <w:rPr>
          <w:u w:val="single"/>
        </w:rPr>
        <w:t>Fire Insurance.</w:t>
      </w:r>
      <w:r>
        <w:t xml:space="preserve">  Before the commencem</w:t>
      </w:r>
      <w:r>
        <w:t xml:space="preserve">ent of the Work, the Contractor shall procure, maintain, and cause to be maintained at the Contractor’s expense, fire insurance on all Work subject to loss or damage by fire.  The amount of fire insurance shall be sufficient to protect the Project against </w:t>
      </w:r>
      <w:r>
        <w:t>loss or damage in full until the Work is accepted by the District.</w:t>
      </w:r>
    </w:p>
    <w:p w:rsidR="00E4078C" w:rsidRDefault="009760CB">
      <w:pPr>
        <w:pStyle w:val="Heading2"/>
      </w:pPr>
      <w:r>
        <w:rPr>
          <w:u w:val="single"/>
        </w:rPr>
        <w:t>Other Insurance.</w:t>
      </w:r>
      <w:r>
        <w:t xml:space="preserve">  The Contractor shall provide all other insurance required to be maintained under applicable laws, ordinances, rules, and regulations.</w:t>
      </w:r>
    </w:p>
    <w:p w:rsidR="00E4078C" w:rsidRDefault="009760CB">
      <w:pPr>
        <w:pStyle w:val="Heading2"/>
      </w:pPr>
      <w:r>
        <w:rPr>
          <w:u w:val="single"/>
        </w:rPr>
        <w:t xml:space="preserve">Proof of Insurance. </w:t>
      </w:r>
      <w:r>
        <w:t xml:space="preserve"> The Contractor s</w:t>
      </w:r>
      <w:r>
        <w:t>hall not commence Work nor shall it allow any Subcontractor to commence Work under this Contract until all required insurance and certificates have been obtained and delivered in duplicate to the District for approval subject to the following requirements:</w:t>
      </w:r>
    </w:p>
    <w:p w:rsidR="00E4078C" w:rsidRDefault="009760CB">
      <w:pPr>
        <w:pStyle w:val="Heading3"/>
      </w:pPr>
      <w:r>
        <w:t>Certificates and insurance policies shall include the following clause:</w:t>
      </w:r>
    </w:p>
    <w:p w:rsidR="00E4078C" w:rsidRDefault="009760CB">
      <w:pPr>
        <w:pStyle w:val="ListNumberIndent"/>
        <w:numPr>
          <w:ilvl w:val="0"/>
          <w:numId w:val="24"/>
        </w:numPr>
        <w:ind w:left="3240"/>
      </w:pPr>
      <w:r>
        <w:t>“This policy shall not be non-renewed, canceled, or reduced in required limits of liability or amounts of insurance until notice has been mailed to the District.  Date of cancellation</w:t>
      </w:r>
      <w:r>
        <w:t xml:space="preserve"> or reduction may not be less than thirty (30) days after the date of mailing notice.”</w:t>
      </w:r>
    </w:p>
    <w:p w:rsidR="00E4078C" w:rsidRDefault="009760CB">
      <w:pPr>
        <w:pStyle w:val="ListNumberIndent"/>
        <w:numPr>
          <w:ilvl w:val="0"/>
          <w:numId w:val="24"/>
        </w:numPr>
        <w:ind w:left="3240"/>
      </w:pPr>
      <w:r>
        <w:t>Certificates of insurance shall state in particular those insured, the extent of insurance, location and operation to which the insurance applies, the expiration date, a</w:t>
      </w:r>
      <w:r>
        <w:t>nd cancellation and reduction notices.</w:t>
      </w:r>
    </w:p>
    <w:p w:rsidR="00E4078C" w:rsidRDefault="009760CB">
      <w:pPr>
        <w:pStyle w:val="ListNumberIndent"/>
        <w:numPr>
          <w:ilvl w:val="0"/>
          <w:numId w:val="24"/>
        </w:numPr>
        <w:ind w:left="3240"/>
      </w:pPr>
      <w:r>
        <w:t>Certificates of insurance shall clearly state that the District and the Architect are named as additional insureds under the policy described and that such insurance policy shall be primary to any insurance or self-in</w:t>
      </w:r>
      <w:r>
        <w:t>surance maintained by District.</w:t>
      </w:r>
    </w:p>
    <w:p w:rsidR="00E4078C" w:rsidRDefault="009760CB">
      <w:pPr>
        <w:pStyle w:val="ListNumberIndent"/>
        <w:numPr>
          <w:ilvl w:val="0"/>
          <w:numId w:val="24"/>
        </w:numPr>
        <w:ind w:left="3240"/>
      </w:pPr>
      <w:r>
        <w:t xml:space="preserve">The Contractor and its Subcontractors shall produce a certified copy of any insurance policy required under this </w:t>
      </w:r>
      <w:r>
        <w:t>Article</w:t>
      </w:r>
      <w:r>
        <w:t xml:space="preserve"> upon written request of the District.</w:t>
      </w:r>
    </w:p>
    <w:p w:rsidR="00E4078C" w:rsidRDefault="009760CB">
      <w:pPr>
        <w:pStyle w:val="Heading2"/>
      </w:pPr>
      <w:r>
        <w:rPr>
          <w:u w:val="single"/>
        </w:rPr>
        <w:t>Compliance</w:t>
      </w:r>
      <w:r>
        <w:t>.  In the event of the failure of Contractor to furnish</w:t>
      </w:r>
      <w:r>
        <w:t xml:space="preserve"> and maintain any insurance required by this Article </w:t>
      </w:r>
      <w:r>
        <w:t>34</w:t>
      </w:r>
      <w:r>
        <w:t>, the Contractor shall be in default under the Contract.  Compliance by Contractor with the requirement to carry insurance and furnish certificates or policies evidencing the same shall not relieve the</w:t>
      </w:r>
      <w:r>
        <w:t xml:space="preserve"> Contractor from liability assumed under any provision of the </w:t>
      </w:r>
      <w:r>
        <w:lastRenderedPageBreak/>
        <w:t>Contract Documents, including, without limitation, the obligation to defend and indemnify the District and the Architect.</w:t>
      </w:r>
    </w:p>
    <w:p w:rsidR="00E4078C" w:rsidRDefault="009760CB">
      <w:pPr>
        <w:pStyle w:val="Heading2"/>
      </w:pPr>
      <w:r>
        <w:rPr>
          <w:u w:val="single"/>
        </w:rPr>
        <w:t>No Waiver Created through Payments</w:t>
      </w:r>
      <w:r>
        <w:t xml:space="preserve">.  The making of </w:t>
      </w:r>
      <w:r>
        <w:t>any payments under th</w:t>
      </w:r>
      <w:r>
        <w:t xml:space="preserve">is CSA </w:t>
      </w:r>
      <w:r>
        <w:t xml:space="preserve">or the Sublease </w:t>
      </w:r>
      <w:r>
        <w:t xml:space="preserve">shall not be construed as creating an insurable risk interest by or for the District or be construed as relieving the Contractor or his </w:t>
      </w:r>
      <w:r>
        <w:t>Subcontractor</w:t>
      </w:r>
      <w:r>
        <w:t xml:space="preserve">s of responsibility for loss from any direct physical loss, damage, or </w:t>
      </w:r>
      <w:r>
        <w:t>destruction o</w:t>
      </w:r>
      <w:r>
        <w:t>ccurring prior to C</w:t>
      </w:r>
      <w:r>
        <w:t>omple</w:t>
      </w:r>
      <w:r>
        <w:t>tion of the Project</w:t>
      </w:r>
      <w:r>
        <w:t>.</w:t>
      </w:r>
    </w:p>
    <w:p w:rsidR="00E4078C" w:rsidRDefault="009760CB">
      <w:pPr>
        <w:pStyle w:val="Heading2"/>
      </w:pPr>
      <w:r>
        <w:rPr>
          <w:u w:val="single"/>
        </w:rPr>
        <w:t xml:space="preserve">Waiver of Subrogation. </w:t>
      </w:r>
      <w:r>
        <w:t xml:space="preserve"> Contractor waives (to the extent permitted by law) any right to recover against the District for damages to the Work, any part thereof, or any and all claims arising by reason of any of t</w:t>
      </w:r>
      <w:r>
        <w:t>he foregoing, but only to the extent that such damages and/or claims are covered by property insurance and only to the extent of such coverage (which shall exclude deductible amounts) by insurance actually carried by the District.</w:t>
      </w:r>
    </w:p>
    <w:p w:rsidR="00E4078C" w:rsidRDefault="009760CB">
      <w:pPr>
        <w:pStyle w:val="Heading2"/>
        <w:numPr>
          <w:ilvl w:val="0"/>
          <w:numId w:val="0"/>
        </w:numPr>
        <w:ind w:left="1440"/>
      </w:pPr>
      <w:r>
        <w:t>The provisions of this se</w:t>
      </w:r>
      <w:r>
        <w:t>ction are intended to restrict each party to recovery against insurance carriers only to the extent of such coverage and waive fully and for the benefit of each, any rights and/or claims which might give rise to a right of subrogation in any insurance carr</w:t>
      </w:r>
      <w:r>
        <w:t>ier.  The District and the Contractor shall each obtain in all policies of insurance carried by either of them, a waiver by the insurance companies thereunder of all rights of recovery by way of subrogation for any damages or claims covered by the insuranc</w:t>
      </w:r>
      <w:r>
        <w:t>e.</w:t>
      </w:r>
    </w:p>
    <w:p w:rsidR="00E4078C" w:rsidRDefault="009760CB">
      <w:pPr>
        <w:pStyle w:val="Heading2"/>
        <w:rPr>
          <w:u w:val="single"/>
        </w:rPr>
      </w:pPr>
      <w:r>
        <w:rPr>
          <w:u w:val="single"/>
        </w:rPr>
        <w:t>Performance and Payment Bonds</w:t>
      </w:r>
    </w:p>
    <w:p w:rsidR="00E4078C" w:rsidRDefault="009760CB">
      <w:pPr>
        <w:pStyle w:val="Heading3"/>
      </w:pPr>
      <w:r>
        <w:rPr>
          <w:i/>
        </w:rPr>
        <w:t xml:space="preserve">Bond Requirements. </w:t>
      </w:r>
      <w:r>
        <w:t xml:space="preserve"> </w:t>
      </w:r>
      <w:r>
        <w:t>P</w:t>
      </w:r>
      <w:r>
        <w:t xml:space="preserve">rior to commencing any portion of the Work, the Contractor shall furnish separate payment and performance bonds for its portion of the Work which shall cover 100% faithful performance of and payment of </w:t>
      </w:r>
      <w:r>
        <w:t>all obligations arising under the Contract Documents and/or guaranteeing the payment in full of all claims for labor performed and materials supplied for the Work.  All bonds shall be provided by a corporate surety authorized and admitted to transact busin</w:t>
      </w:r>
      <w:r>
        <w:t xml:space="preserve">ess in California as sureties.  </w:t>
      </w:r>
    </w:p>
    <w:p w:rsidR="00E4078C" w:rsidRDefault="009760CB" w:rsidP="00F91733">
      <w:pPr>
        <w:pStyle w:val="Heading3"/>
        <w:numPr>
          <w:ilvl w:val="0"/>
          <w:numId w:val="0"/>
        </w:numPr>
        <w:ind w:left="2430"/>
      </w:pPr>
      <w:r>
        <w:t xml:space="preserve">To the extent, if any, that the Contract Price is increased in accordance with the Contract Documents, the Contractor shall, upon request of the District, cause the amount of the bonds to be increased accordingly and shall </w:t>
      </w:r>
      <w:r>
        <w:t xml:space="preserve">promptly deliver satisfactory evidence of such increase to the District.  To the extent available, the bonds shall further provide that no change or alteration of the Contract Documents (including, without limitation, an increase in the Contract Price, as </w:t>
      </w:r>
      <w:r>
        <w:t>referred to above), extensions of time, or modifications of the time, terms, or conditions of payment to the Contractor will release the surety.  If the Contractor fails to furnish the required bonds, the District may terminate the Contract for cause.</w:t>
      </w:r>
    </w:p>
    <w:p w:rsidR="00E4078C" w:rsidRDefault="009760CB">
      <w:pPr>
        <w:pStyle w:val="Heading3"/>
      </w:pPr>
      <w:r>
        <w:rPr>
          <w:i/>
        </w:rPr>
        <w:t>Sure</w:t>
      </w:r>
      <w:r>
        <w:rPr>
          <w:i/>
        </w:rPr>
        <w:t>ty Qualification</w:t>
      </w:r>
      <w:r>
        <w:t>.  Only bonds executed by admitted Surety insurers as defined in Code of Civil Procedure § 995.120 shall be accepted.  Surety must be a California-admitted surety and listed by the U.S. Treasury with a bonding capacity in excess of the Proj</w:t>
      </w:r>
      <w:r>
        <w:t>ect cost.</w:t>
      </w:r>
    </w:p>
    <w:p w:rsidR="00E4078C" w:rsidRDefault="009760CB">
      <w:pPr>
        <w:pStyle w:val="Heading3"/>
      </w:pPr>
      <w:r>
        <w:rPr>
          <w:i/>
        </w:rPr>
        <w:t>Alternate Surety Qualifications.</w:t>
      </w:r>
      <w:r>
        <w:t xml:space="preserve">  If a California-admitted surety insurer issuing bonds does not meet these requirements, the insurer will be considered qualified if it is in conformance with § 995.660 of the California Code of Civil Procedure an</w:t>
      </w:r>
      <w:r>
        <w:t>d proof of such is provided to the District.</w:t>
      </w:r>
    </w:p>
    <w:p w:rsidR="00E4078C" w:rsidRDefault="009760CB">
      <w:pPr>
        <w:pStyle w:val="Heading3"/>
      </w:pPr>
      <w:r>
        <w:t>Contractor is</w:t>
      </w:r>
      <w:r>
        <w:t xml:space="preserve"> hereby authorized to obtain a p</w:t>
      </w:r>
      <w:r>
        <w:t xml:space="preserve">erformance and </w:t>
      </w:r>
      <w:r>
        <w:t>p</w:t>
      </w:r>
      <w:r>
        <w:t xml:space="preserve">ayment </w:t>
      </w:r>
      <w:r>
        <w:t>b</w:t>
      </w:r>
      <w:r>
        <w:t xml:space="preserve">ond from any </w:t>
      </w:r>
      <w:r>
        <w:t>Subcontractor</w:t>
      </w:r>
      <w:r>
        <w:t>s selected by Contractor at its discretion and cost.  Any bonds required by this subsection shall comply with the re</w:t>
      </w:r>
      <w:r>
        <w:t xml:space="preserve">quirements set forth above. </w:t>
      </w:r>
    </w:p>
    <w:p w:rsidR="00E4078C" w:rsidRDefault="009760CB">
      <w:pPr>
        <w:pStyle w:val="Heading1"/>
      </w:pPr>
      <w:bookmarkStart w:id="206" w:name="_Toc256000038"/>
      <w:bookmarkStart w:id="207" w:name="_Toc365549849"/>
      <w:bookmarkStart w:id="208" w:name="_Toc472525917"/>
      <w:r>
        <w:lastRenderedPageBreak/>
        <w:t>HOLD HARMLESS AND INDEMNITY</w:t>
      </w:r>
      <w:bookmarkEnd w:id="206"/>
      <w:bookmarkEnd w:id="207"/>
      <w:bookmarkEnd w:id="208"/>
    </w:p>
    <w:p w:rsidR="00E4078C" w:rsidRDefault="009760CB">
      <w:pPr>
        <w:pStyle w:val="BodyTextFlush"/>
        <w:spacing w:before="200"/>
        <w:rPr>
          <w:sz w:val="20"/>
          <w:szCs w:val="20"/>
        </w:rPr>
      </w:pPr>
      <w:r>
        <w:rPr>
          <w:sz w:val="20"/>
          <w:szCs w:val="20"/>
        </w:rPr>
        <w:t>Contractor shall defend, indemnify and hold harmless District, Architect, Construction Manager, Inspector, the State of California and their officers, employees, agents and independent contractors fr</w:t>
      </w:r>
      <w:r>
        <w:rPr>
          <w:sz w:val="20"/>
          <w:szCs w:val="20"/>
        </w:rPr>
        <w:t>om all liabilities, claims, actions, liens, judgments, demands, damages, losses, costs or expenses of any kind arising from death, personal injury, property damage or other cause based or asserted upon any act, omission, or breach connected with or arising</w:t>
      </w:r>
      <w:r>
        <w:rPr>
          <w:sz w:val="20"/>
          <w:szCs w:val="20"/>
        </w:rPr>
        <w:t xml:space="preserve"> from the progress of Work or performance of service under this Agreement or the Contract Documents.  As part of this indemnity, Contractor shall protect and defend, at its own expense, District, Architect, Inspector, the State of California and their offi</w:t>
      </w:r>
      <w:r>
        <w:rPr>
          <w:sz w:val="20"/>
          <w:szCs w:val="20"/>
        </w:rPr>
        <w:t>cers, employees, agents and independent contractors from any legal action including attorney’s fees or other proceeding based upon such act, omission, breach or as otherwise required by this Article.</w:t>
      </w:r>
    </w:p>
    <w:p w:rsidR="00E4078C" w:rsidRDefault="009760CB">
      <w:pPr>
        <w:pStyle w:val="BodyTextFlush"/>
        <w:spacing w:before="200"/>
        <w:rPr>
          <w:sz w:val="20"/>
          <w:szCs w:val="20"/>
        </w:rPr>
      </w:pPr>
      <w:r>
        <w:rPr>
          <w:sz w:val="20"/>
          <w:szCs w:val="20"/>
        </w:rPr>
        <w:t xml:space="preserve">Furthermore, Contractor agrees to and does hereby </w:t>
      </w:r>
      <w:r>
        <w:rPr>
          <w:sz w:val="20"/>
          <w:szCs w:val="20"/>
        </w:rPr>
        <w:t xml:space="preserve">defend, indemnify and hold harmless District, Architect, Inspector, the State of California and their officers, employees, agents and independent contractors from every claim or demand made, and every liability, loss, damage, expense or attorney’s fees of </w:t>
      </w:r>
      <w:r>
        <w:rPr>
          <w:sz w:val="20"/>
          <w:szCs w:val="20"/>
        </w:rPr>
        <w:t>any nature whatsoever, which may be incurred by reason of:</w:t>
      </w:r>
    </w:p>
    <w:p w:rsidR="00E4078C" w:rsidRDefault="009760CB">
      <w:pPr>
        <w:pStyle w:val="Heading3"/>
      </w:pPr>
      <w:r>
        <w:t>Liability for (1) death or bodily injury to persons; (2) damage or injury to, loss (including theft), or loss of use of, any property; (3) any failure or alleged failure to comply with any provisio</w:t>
      </w:r>
      <w:r>
        <w:t>n of law or the Contract Documents; or (4) any other loss, damage or expense, sustained by any person, firm or corporation or in connection with the Work called for in this Agreement or the Contract Documents, except for liability resulting from the sole o</w:t>
      </w:r>
      <w:r>
        <w:t>r active negligence, or the willful misconduct of the District.</w:t>
      </w:r>
    </w:p>
    <w:p w:rsidR="00E4078C" w:rsidRDefault="009760CB">
      <w:pPr>
        <w:pStyle w:val="Heading3"/>
      </w:pPr>
      <w:r>
        <w:t>Any bodily injury to or death of persons or damage to property caused by any act, omission or breach of Contractor or any person, firm or corporation employed by Contractor, either directly or</w:t>
      </w:r>
      <w:r>
        <w:t xml:space="preserve"> by independent contract, including all damages or injury  to, loss (including theft), or loss of use of, any property, sustained by any person, firm or corporation, including District, arising out of or in any way connected with Work covered by this Agree</w:t>
      </w:r>
      <w:r>
        <w:t>ment or the Contract Documents, whether said injury or damage occurs either on or off District property, but not for any loss, injury, death or damages caused by the sole or active negligence or willful misconduct of the District.</w:t>
      </w:r>
    </w:p>
    <w:p w:rsidR="00E4078C" w:rsidRDefault="009760CB">
      <w:pPr>
        <w:pStyle w:val="Heading3"/>
      </w:pPr>
      <w:r>
        <w:t xml:space="preserve">Any dispute between Contractor and Contractor’s </w:t>
      </w:r>
      <w:r>
        <w:t>Subcontractor</w:t>
      </w:r>
      <w:r>
        <w:t>s/supplies/sureties, including, but not limited to, any failure or alleged failure of the Contractor (or any person hired or employed directly or indirectly by the Contractor) to pay any Subcontr</w:t>
      </w:r>
      <w:r>
        <w:t>actor or Materialman of any tier or any other person employed in connection with the Work and/or filing of any stop notice or mechanic’s lien claims.</w:t>
      </w:r>
    </w:p>
    <w:p w:rsidR="00E4078C" w:rsidRDefault="009760CB">
      <w:pPr>
        <w:pStyle w:val="BodyTextFlush"/>
        <w:spacing w:before="200"/>
        <w:rPr>
          <w:sz w:val="20"/>
          <w:szCs w:val="20"/>
        </w:rPr>
      </w:pPr>
      <w:r>
        <w:rPr>
          <w:sz w:val="20"/>
          <w:szCs w:val="20"/>
        </w:rPr>
        <w:t xml:space="preserve">Contractor, at its own expense, cost, and risk, shall defend any and all claims, actions, suits, or other </w:t>
      </w:r>
      <w:r>
        <w:rPr>
          <w:sz w:val="20"/>
          <w:szCs w:val="20"/>
        </w:rPr>
        <w:t>proceedings that may be brought or instituted against the District, its officers, agents, Architect or CM, or employees, on account of or founded upon any cause, damage, or injury identified herein and shall pay or satisfy any judgment that may be rendered</w:t>
      </w:r>
      <w:r>
        <w:rPr>
          <w:sz w:val="20"/>
          <w:szCs w:val="20"/>
        </w:rPr>
        <w:t xml:space="preserve"> against the District, its officers, agents or employees in any action, suit or other proceedings as a result thereof.</w:t>
      </w:r>
    </w:p>
    <w:p w:rsidR="00E4078C" w:rsidRDefault="009760CB">
      <w:pPr>
        <w:pStyle w:val="BodyTextFlush"/>
        <w:spacing w:before="200"/>
        <w:rPr>
          <w:sz w:val="20"/>
          <w:szCs w:val="20"/>
        </w:rPr>
      </w:pPr>
      <w:r>
        <w:rPr>
          <w:sz w:val="20"/>
          <w:szCs w:val="20"/>
        </w:rPr>
        <w:t xml:space="preserve">Contractor shall ensure that its contract with each of its </w:t>
      </w:r>
      <w:r>
        <w:rPr>
          <w:sz w:val="20"/>
          <w:szCs w:val="20"/>
        </w:rPr>
        <w:t>Subcontractor</w:t>
      </w:r>
      <w:r>
        <w:rPr>
          <w:sz w:val="20"/>
          <w:szCs w:val="20"/>
        </w:rPr>
        <w:t xml:space="preserve">s contains provisions requiring the </w:t>
      </w:r>
      <w:r>
        <w:rPr>
          <w:sz w:val="20"/>
          <w:szCs w:val="20"/>
        </w:rPr>
        <w:t>Subcontractor</w:t>
      </w:r>
      <w:r>
        <w:rPr>
          <w:sz w:val="20"/>
          <w:szCs w:val="20"/>
        </w:rPr>
        <w:t>s to defend, ind</w:t>
      </w:r>
      <w:r>
        <w:rPr>
          <w:sz w:val="20"/>
          <w:szCs w:val="20"/>
        </w:rPr>
        <w:t>emnify and hold harmless the District, Architect, Inspector, the State of California to a minimum level as set forth in this Article and consistent with the language of this Article.</w:t>
      </w:r>
    </w:p>
    <w:p w:rsidR="00E4078C" w:rsidRDefault="009760CB">
      <w:pPr>
        <w:pStyle w:val="BodyTextFlush"/>
        <w:spacing w:before="200"/>
        <w:rPr>
          <w:sz w:val="20"/>
          <w:szCs w:val="20"/>
        </w:rPr>
      </w:pPr>
      <w:r>
        <w:rPr>
          <w:sz w:val="20"/>
          <w:szCs w:val="20"/>
        </w:rPr>
        <w:t xml:space="preserve">The Contractor’s and Subcontractors’ obligation to defend, indemnify and </w:t>
      </w:r>
      <w:r>
        <w:rPr>
          <w:sz w:val="20"/>
          <w:szCs w:val="20"/>
        </w:rPr>
        <w:t>hold harmless the District, Architect, Inspector, the State of California and their officers, employees, agents and independent contractors hereunder shall include, without limitation, any and all claims, damages, and costs for the following: (1) any damag</w:t>
      </w:r>
      <w:r>
        <w:rPr>
          <w:sz w:val="20"/>
          <w:szCs w:val="20"/>
        </w:rPr>
        <w:t>es or injury to or death of any person, and damage or injury to, loss (including theft), or loss of use of, any property; (2) breach of any warranty, express or implied; (3) failure of the Contractor or Subcontractors to comply with any applicable governme</w:t>
      </w:r>
      <w:r>
        <w:rPr>
          <w:sz w:val="20"/>
          <w:szCs w:val="20"/>
        </w:rPr>
        <w:t>ntal law, rule, regulation, or other requirement; (4) products installed in or used in connection with the Work; and (5) any claims of violation of the Americans with Disabilities Act (“ADA”)</w:t>
      </w:r>
      <w:r>
        <w:rPr>
          <w:sz w:val="20"/>
          <w:szCs w:val="20"/>
        </w:rPr>
        <w:t xml:space="preserve"> claims arising from failure to comply with the Construction Docu</w:t>
      </w:r>
      <w:r>
        <w:rPr>
          <w:sz w:val="20"/>
          <w:szCs w:val="20"/>
        </w:rPr>
        <w:t>ments.</w:t>
      </w:r>
    </w:p>
    <w:p w:rsidR="00E4078C" w:rsidRDefault="009760CB">
      <w:pPr>
        <w:pStyle w:val="Heading1"/>
      </w:pPr>
      <w:bookmarkStart w:id="209" w:name="_Toc256000039"/>
      <w:bookmarkStart w:id="210" w:name="_Toc365549850"/>
      <w:bookmarkStart w:id="211" w:name="_Toc472525918"/>
      <w:r>
        <w:lastRenderedPageBreak/>
        <w:t>SUBSTITUTION OF SECURITY</w:t>
      </w:r>
      <w:bookmarkEnd w:id="209"/>
      <w:bookmarkEnd w:id="210"/>
      <w:bookmarkEnd w:id="211"/>
    </w:p>
    <w:p w:rsidR="00E4078C" w:rsidRDefault="009760CB">
      <w:pPr>
        <w:pStyle w:val="BodyTextFlush"/>
        <w:spacing w:before="200"/>
        <w:rPr>
          <w:sz w:val="20"/>
          <w:szCs w:val="20"/>
        </w:rPr>
      </w:pPr>
      <w:r>
        <w:rPr>
          <w:sz w:val="20"/>
          <w:szCs w:val="20"/>
        </w:rPr>
        <w:t xml:space="preserve">In accordance with Public Contract Code section 22300, the District will permit the substitution of securities for any moneys withheld by the District to ensure performance under the Construction Services Agreement.  At the </w:t>
      </w:r>
      <w:r>
        <w:rPr>
          <w:sz w:val="20"/>
          <w:szCs w:val="20"/>
        </w:rPr>
        <w:t>request and expense of the Contractors, securities equivalent to the amount withheld shall be deposited with the District, or with a state or federally chartered bank as the escrow agent, who shall then pay such moneys to the Contractor.  Upon satisfactory</w:t>
      </w:r>
      <w:r>
        <w:rPr>
          <w:sz w:val="20"/>
          <w:szCs w:val="20"/>
        </w:rPr>
        <w:t xml:space="preserve"> completion of the Construction Services Agreement the securities shall be returned to the Contractor.</w:t>
      </w:r>
    </w:p>
    <w:p w:rsidR="00E4078C" w:rsidRDefault="009760CB">
      <w:pPr>
        <w:pStyle w:val="Heading1"/>
      </w:pPr>
      <w:bookmarkStart w:id="212" w:name="_Toc256000040"/>
      <w:bookmarkStart w:id="213" w:name="_Toc365549851"/>
      <w:bookmarkStart w:id="214" w:name="_Toc472525919"/>
      <w:r>
        <w:t>TITLE TO WORK</w:t>
      </w:r>
      <w:bookmarkEnd w:id="212"/>
      <w:bookmarkEnd w:id="213"/>
      <w:bookmarkEnd w:id="214"/>
    </w:p>
    <w:p w:rsidR="00E4078C" w:rsidRDefault="009760CB">
      <w:pPr>
        <w:pStyle w:val="BodyTextFlush"/>
        <w:spacing w:before="200"/>
        <w:rPr>
          <w:sz w:val="20"/>
          <w:szCs w:val="20"/>
        </w:rPr>
      </w:pPr>
      <w:r>
        <w:rPr>
          <w:sz w:val="20"/>
          <w:szCs w:val="20"/>
        </w:rPr>
        <w:t>Title to all work completed and in the course of construction paid for by District and title to all materials on account of which payment h</w:t>
      </w:r>
      <w:r>
        <w:rPr>
          <w:sz w:val="20"/>
          <w:szCs w:val="20"/>
        </w:rPr>
        <w:t>as been made by District to Contractor shall vest in District pursuant to the applicable provisions of the Sub</w:t>
      </w:r>
      <w:r>
        <w:rPr>
          <w:sz w:val="20"/>
          <w:szCs w:val="20"/>
        </w:rPr>
        <w:t>l</w:t>
      </w:r>
      <w:r>
        <w:rPr>
          <w:sz w:val="20"/>
          <w:szCs w:val="20"/>
        </w:rPr>
        <w:t>ease</w:t>
      </w:r>
      <w:r>
        <w:rPr>
          <w:sz w:val="20"/>
          <w:szCs w:val="20"/>
        </w:rPr>
        <w:t>.</w:t>
      </w:r>
    </w:p>
    <w:p w:rsidR="00E4078C" w:rsidRDefault="009760CB">
      <w:pPr>
        <w:pStyle w:val="Heading1"/>
      </w:pPr>
      <w:bookmarkStart w:id="215" w:name="_Toc256000041"/>
      <w:bookmarkStart w:id="216" w:name="_Toc365549852"/>
      <w:bookmarkStart w:id="217" w:name="_Toc472525920"/>
      <w:r>
        <w:t>COMPLIANCE WITH STATE STORM WATER PERMIT FOR CONSTRUCTION</w:t>
      </w:r>
      <w:bookmarkEnd w:id="215"/>
      <w:bookmarkEnd w:id="216"/>
      <w:bookmarkEnd w:id="217"/>
    </w:p>
    <w:p w:rsidR="00E4078C" w:rsidRDefault="009760CB">
      <w:pPr>
        <w:pStyle w:val="BodyTextFlush"/>
        <w:spacing w:before="200"/>
        <w:rPr>
          <w:sz w:val="20"/>
          <w:szCs w:val="20"/>
        </w:rPr>
      </w:pPr>
      <w:r>
        <w:rPr>
          <w:sz w:val="20"/>
          <w:szCs w:val="20"/>
        </w:rPr>
        <w:t>The Contractor shall be required to comply with all conditions of the State Water</w:t>
      </w:r>
      <w:r>
        <w:rPr>
          <w:sz w:val="20"/>
          <w:szCs w:val="20"/>
        </w:rPr>
        <w:t xml:space="preserve"> Resources Control Board (State Water Board) National Pollutant Discharge Elimination System General Permit for Waste Discharge Requirements for Discharges of Storm Water Runoff Associated with Construction Activity (Permit) for all construction activity w</w:t>
      </w:r>
      <w:r>
        <w:rPr>
          <w:sz w:val="20"/>
          <w:szCs w:val="20"/>
        </w:rPr>
        <w:t xml:space="preserve">hich results in the disturbance of in excess of one acre of total land area or which is part of a larger common area of development or sale.  The Contractor shall be responsible for filing the Notice of Intent and for obtaining the Permit.  The Contractor </w:t>
      </w:r>
      <w:r>
        <w:rPr>
          <w:sz w:val="20"/>
          <w:szCs w:val="20"/>
        </w:rPr>
        <w:t xml:space="preserve">shall be solely responsible for preparing and implementing a Storm Water Pollution Prevention Plan (SWPPP) prior to initiating Work.  </w:t>
      </w:r>
      <w:r>
        <w:rPr>
          <w:sz w:val="20"/>
          <w:szCs w:val="20"/>
        </w:rPr>
        <w:t xml:space="preserve">The Contractor’s Qualified SWPPP Developer (QSD) shall work with the Architect and its engineers in preparing an approved </w:t>
      </w:r>
      <w:r>
        <w:rPr>
          <w:sz w:val="20"/>
          <w:szCs w:val="20"/>
        </w:rPr>
        <w:t xml:space="preserve">SWPPP and revising it as necessary or required.  </w:t>
      </w:r>
      <w:r>
        <w:rPr>
          <w:sz w:val="20"/>
          <w:szCs w:val="20"/>
        </w:rPr>
        <w:t>It shall be the Contractor’s responsibility to evaluate the cost of procuring the Permit and preparing the SWPPP as well as complying with the SWPPP and any necessary revision to the SWPPP.  The Contractor s</w:t>
      </w:r>
      <w:r>
        <w:rPr>
          <w:sz w:val="20"/>
          <w:szCs w:val="20"/>
        </w:rPr>
        <w:t>hall</w:t>
      </w:r>
      <w:r>
        <w:rPr>
          <w:sz w:val="20"/>
          <w:szCs w:val="20"/>
        </w:rPr>
        <w:t xml:space="preserve"> employ a Qualified SWPPP Practitioner (QSP) to implement the approved SWPPP during construction.  The Contractor shall</w:t>
      </w:r>
      <w:r>
        <w:rPr>
          <w:sz w:val="20"/>
          <w:szCs w:val="20"/>
        </w:rPr>
        <w:t xml:space="preserve"> comply with all requirements of the State Water Resources Control Board.  The Contractor shall include all costs of compliance with </w:t>
      </w:r>
      <w:r>
        <w:rPr>
          <w:sz w:val="20"/>
          <w:szCs w:val="20"/>
        </w:rPr>
        <w:t>specified requirements in the GMP.</w:t>
      </w:r>
    </w:p>
    <w:p w:rsidR="00E4078C" w:rsidRDefault="009760CB">
      <w:pPr>
        <w:pStyle w:val="BodyTextFlush"/>
        <w:spacing w:before="200"/>
        <w:rPr>
          <w:sz w:val="20"/>
          <w:szCs w:val="20"/>
        </w:rPr>
      </w:pPr>
      <w:r>
        <w:rPr>
          <w:sz w:val="20"/>
          <w:szCs w:val="20"/>
        </w:rPr>
        <w:t>Contractor shall be responsible for procuring, implementing and complying with the provisions of the Permit and the SWPPP, including the standard provisions, monitoring and reporting requirements as required by the Permit</w:t>
      </w:r>
      <w:r>
        <w:rPr>
          <w:sz w:val="20"/>
          <w:szCs w:val="20"/>
        </w:rPr>
        <w:t>.  Contractor shall provide copies of all reports and monitoring</w:t>
      </w:r>
      <w:r>
        <w:rPr>
          <w:sz w:val="20"/>
          <w:szCs w:val="20"/>
        </w:rPr>
        <w:t xml:space="preserve"> information to the District,</w:t>
      </w:r>
      <w:r>
        <w:rPr>
          <w:sz w:val="20"/>
          <w:szCs w:val="20"/>
        </w:rPr>
        <w:t xml:space="preserve"> Architect</w:t>
      </w:r>
      <w:r>
        <w:rPr>
          <w:sz w:val="20"/>
          <w:szCs w:val="20"/>
        </w:rPr>
        <w:t xml:space="preserve"> and the District’s third party SWPPP consultant</w:t>
      </w:r>
      <w:r>
        <w:rPr>
          <w:sz w:val="20"/>
          <w:szCs w:val="20"/>
        </w:rPr>
        <w:t>.</w:t>
      </w:r>
    </w:p>
    <w:p w:rsidR="00E4078C" w:rsidRDefault="009760CB">
      <w:pPr>
        <w:pStyle w:val="BodyTextFlush"/>
        <w:spacing w:before="200"/>
        <w:rPr>
          <w:sz w:val="20"/>
          <w:szCs w:val="20"/>
        </w:rPr>
      </w:pPr>
      <w:r>
        <w:rPr>
          <w:sz w:val="20"/>
          <w:szCs w:val="20"/>
        </w:rPr>
        <w:t>The Contractor shall comply with the lawful requirements of any applicable municipality, the County, dr</w:t>
      </w:r>
      <w:r>
        <w:rPr>
          <w:sz w:val="20"/>
          <w:szCs w:val="20"/>
        </w:rPr>
        <w:t>ainage district, and other local agencies regarding discharges of storm water to separate storm drain system or other watercourses under their jurisdiction, including applicable requirements in municipal storm water management programs.</w:t>
      </w:r>
    </w:p>
    <w:p w:rsidR="00E4078C" w:rsidRDefault="009760CB">
      <w:pPr>
        <w:pStyle w:val="BodyTextFlush"/>
        <w:spacing w:before="200"/>
        <w:rPr>
          <w:sz w:val="20"/>
          <w:szCs w:val="20"/>
        </w:rPr>
      </w:pPr>
      <w:r>
        <w:rPr>
          <w:sz w:val="20"/>
          <w:szCs w:val="20"/>
        </w:rPr>
        <w:t>Failure to comply w</w:t>
      </w:r>
      <w:r>
        <w:rPr>
          <w:sz w:val="20"/>
          <w:szCs w:val="20"/>
        </w:rPr>
        <w:t>ith the Permit is in violation of federal and state law.  The Contractor hereby agrees to indemnify and hold harmless the District, its Board members, officers, agents, employees and authorized volunteers from and against any and all claims, demands, losse</w:t>
      </w:r>
      <w:r>
        <w:rPr>
          <w:sz w:val="20"/>
          <w:szCs w:val="20"/>
        </w:rPr>
        <w:t>s or liabilities of any kind or nature which the District, its Board members, officers, agents, employees and authorized volunteers may sustain or incur for noncompliance with the Permit arising out of or in connection with the Project, except for liabilit</w:t>
      </w:r>
      <w:r>
        <w:rPr>
          <w:sz w:val="20"/>
          <w:szCs w:val="20"/>
        </w:rPr>
        <w:t xml:space="preserve">y resulting from the sole negligence, willful misconduct or active negligence of the District, its Board members, officers, agents, employees or authorized volunteers.  District may seek damages from the Contractor for delay </w:t>
      </w:r>
      <w:r>
        <w:rPr>
          <w:sz w:val="20"/>
          <w:szCs w:val="20"/>
        </w:rPr>
        <w:t xml:space="preserve">in completing the Project </w:t>
      </w:r>
      <w:r>
        <w:rPr>
          <w:sz w:val="20"/>
          <w:szCs w:val="20"/>
        </w:rPr>
        <w:t>cause</w:t>
      </w:r>
      <w:r>
        <w:rPr>
          <w:sz w:val="20"/>
          <w:szCs w:val="20"/>
        </w:rPr>
        <w:t>d by the Contractor’s failure to comply with the Permit.</w:t>
      </w:r>
    </w:p>
    <w:p w:rsidR="00E4078C" w:rsidRDefault="009760CB">
      <w:pPr>
        <w:pStyle w:val="Heading1"/>
      </w:pPr>
      <w:bookmarkStart w:id="218" w:name="_Toc256000042"/>
      <w:bookmarkStart w:id="219" w:name="_Toc365549853"/>
      <w:bookmarkStart w:id="220" w:name="_Toc472525921"/>
      <w:r>
        <w:t>EQUAL OPPORTUNITY CLAUSE</w:t>
      </w:r>
      <w:bookmarkEnd w:id="218"/>
      <w:bookmarkEnd w:id="219"/>
      <w:bookmarkEnd w:id="220"/>
    </w:p>
    <w:p w:rsidR="00E4078C" w:rsidRDefault="009760CB">
      <w:pPr>
        <w:pStyle w:val="BodyTextFlush"/>
        <w:spacing w:before="200"/>
        <w:rPr>
          <w:sz w:val="20"/>
          <w:szCs w:val="20"/>
        </w:rPr>
      </w:pPr>
      <w:r>
        <w:rPr>
          <w:sz w:val="20"/>
          <w:szCs w:val="20"/>
        </w:rPr>
        <w:t>The Contractor herein agrees not to discriminate in its recruiting, hiring, promotion, demotion or termination practices on the basis of race, religious creed, color, nationa</w:t>
      </w:r>
      <w:r>
        <w:rPr>
          <w:sz w:val="20"/>
          <w:szCs w:val="20"/>
        </w:rPr>
        <w:t>l origin, ancestry, sex, age or physical handicap in the performance of this Construction Services Agreement and to comply with the provisions of the following laws:</w:t>
      </w:r>
    </w:p>
    <w:p w:rsidR="00E4078C" w:rsidRDefault="009760CB">
      <w:pPr>
        <w:pStyle w:val="Heading2"/>
      </w:pPr>
      <w:r>
        <w:lastRenderedPageBreak/>
        <w:t>California Fair Employment and Housing Act (Gov. Code 12900 et seq., prohibiting discrimin</w:t>
      </w:r>
      <w:r>
        <w:t xml:space="preserve">ation in employment on account of race, religious creed, color, national origin, ancestry, physical disability, mental disability, medical condition, marital status, or sex, and prohibiting harassment of an employee or applicant because of race, religious </w:t>
      </w:r>
      <w:r>
        <w:t>creed, color, national origin, ancestry, physical disability, mental disability, medical condition, marital status, sex, or age);</w:t>
      </w:r>
    </w:p>
    <w:p w:rsidR="00E4078C" w:rsidRDefault="009760CB">
      <w:pPr>
        <w:pStyle w:val="Heading2"/>
      </w:pPr>
      <w:r>
        <w:t>Federal Civil Rights Act of 1964 (42 USC ‘2000e et seq., prohibiting discrimination in employment on the basis of race, color,</w:t>
      </w:r>
      <w:r>
        <w:t xml:space="preserve"> national origin, religion, or sex); Title I of the Americans With Disabilities Act of 1990 (42 USC 12101 et seq., prohibiting discrimination against qualified individuals with a disability in hiring and employment practices);</w:t>
      </w:r>
    </w:p>
    <w:p w:rsidR="00E4078C" w:rsidRDefault="009760CB">
      <w:pPr>
        <w:pStyle w:val="Heading2"/>
      </w:pPr>
      <w:r>
        <w:t>The Age Discrimination in Emp</w:t>
      </w:r>
      <w:r>
        <w:t>loyment Act (29 USC 621 et seq., prohibiting age discrimination in employment against individuals who are at least forty years of age);</w:t>
      </w:r>
    </w:p>
    <w:p w:rsidR="00E4078C" w:rsidRDefault="009760CB">
      <w:pPr>
        <w:pStyle w:val="Heading2"/>
      </w:pPr>
      <w:r>
        <w:t>California Labor Code section 1102.1 (prohibiting discrimination in any aspect of employment or opportunity for employme</w:t>
      </w:r>
      <w:r>
        <w:t>nt based on actual or pe</w:t>
      </w:r>
      <w:r>
        <w:t>rceived sexual orientation);</w:t>
      </w:r>
    </w:p>
    <w:p w:rsidR="00E4078C" w:rsidRDefault="009760CB">
      <w:pPr>
        <w:pStyle w:val="Heading2"/>
      </w:pPr>
      <w:r>
        <w:t>Sexual o</w:t>
      </w:r>
      <w:r>
        <w:t>rientation</w:t>
      </w:r>
      <w:r>
        <w:t>;</w:t>
      </w:r>
    </w:p>
    <w:p w:rsidR="00E4078C" w:rsidRDefault="009760CB">
      <w:pPr>
        <w:pStyle w:val="Heading2"/>
      </w:pPr>
      <w:r>
        <w:t>American with Disabilities Act (</w:t>
      </w:r>
      <w:r>
        <w:t>ADA</w:t>
      </w:r>
      <w:r>
        <w:t>)</w:t>
      </w:r>
      <w:r>
        <w:t xml:space="preserve"> (See Article </w:t>
      </w:r>
      <w:r>
        <w:t>41</w:t>
      </w:r>
      <w:r>
        <w:t>); and</w:t>
      </w:r>
    </w:p>
    <w:p w:rsidR="00E4078C" w:rsidRDefault="009760CB">
      <w:pPr>
        <w:pStyle w:val="Heading2"/>
      </w:pPr>
      <w:r>
        <w:t>Any other laws or regulations prohibiting discrimination as may be applicable to Contractor</w:t>
      </w:r>
      <w:r>
        <w:t>.</w:t>
      </w:r>
    </w:p>
    <w:p w:rsidR="00E4078C" w:rsidRDefault="009760CB">
      <w:pPr>
        <w:pStyle w:val="Heading1"/>
      </w:pPr>
      <w:bookmarkStart w:id="221" w:name="_Toc256000043"/>
      <w:bookmarkStart w:id="222" w:name="_Toc365549854"/>
      <w:bookmarkStart w:id="223" w:name="_Toc472525922"/>
      <w:bookmarkStart w:id="224" w:name="_Ref472595256"/>
      <w:bookmarkStart w:id="225" w:name="_Ref472596916"/>
      <w:r>
        <w:t xml:space="preserve">SPECIAL NOTICE OF AMERICAN’S </w:t>
      </w:r>
      <w:r>
        <w:t>WITH DISABILITIES ACT</w:t>
      </w:r>
      <w:bookmarkEnd w:id="221"/>
      <w:bookmarkEnd w:id="222"/>
      <w:bookmarkEnd w:id="223"/>
      <w:bookmarkEnd w:id="224"/>
      <w:bookmarkEnd w:id="225"/>
    </w:p>
    <w:p w:rsidR="00E4078C" w:rsidRDefault="009760CB">
      <w:pPr>
        <w:pStyle w:val="BodyTextFlush"/>
        <w:spacing w:before="200"/>
        <w:rPr>
          <w:sz w:val="20"/>
          <w:szCs w:val="20"/>
        </w:rPr>
      </w:pPr>
      <w:r>
        <w:rPr>
          <w:sz w:val="20"/>
          <w:szCs w:val="20"/>
        </w:rPr>
        <w:t xml:space="preserve">Some of the requirements in the </w:t>
      </w:r>
      <w:r>
        <w:rPr>
          <w:sz w:val="20"/>
          <w:szCs w:val="20"/>
        </w:rPr>
        <w:t>Construction Documents</w:t>
      </w:r>
      <w:r>
        <w:rPr>
          <w:sz w:val="20"/>
          <w:szCs w:val="20"/>
        </w:rPr>
        <w:t xml:space="preserve"> are meant to comply with the American’s with Disabilities Act (“ADA”).  The requirements of the ADA are technical in nature and may appear to be minor in nature (i.e. whether a wa</w:t>
      </w:r>
      <w:r>
        <w:rPr>
          <w:sz w:val="20"/>
          <w:szCs w:val="20"/>
        </w:rPr>
        <w:t xml:space="preserve">lkway or ramp has a 2% cross-slope).  Contractor is warned that even the slightest deviation from the specific requirements from the ADA is considered a Civil Rights Violation and subjects the District to fines of three times actual damages sustained by a </w:t>
      </w:r>
      <w:r>
        <w:rPr>
          <w:sz w:val="20"/>
          <w:szCs w:val="20"/>
        </w:rPr>
        <w:t xml:space="preserve">handicap individual or up to $4,000 per violation and attorney’s fees required to enforce the ADA violation.  As a result of the significant liability and exposure associated with ADA aspects of the Contract, Contractor shall take special care to meet all </w:t>
      </w:r>
      <w:r>
        <w:rPr>
          <w:sz w:val="20"/>
          <w:szCs w:val="20"/>
        </w:rPr>
        <w:t xml:space="preserve">ADA requirements detailed in the </w:t>
      </w:r>
      <w:r>
        <w:rPr>
          <w:sz w:val="20"/>
          <w:szCs w:val="20"/>
        </w:rPr>
        <w:t>Construction Documents</w:t>
      </w:r>
      <w:r>
        <w:rPr>
          <w:sz w:val="20"/>
          <w:szCs w:val="20"/>
        </w:rPr>
        <w:t>.  Failure to comply with ADA rules that results in a Notice of Non-Compliance shall be repaired to meet ADA requirements promptly.  In addition, any ADA violations that are not identified by Inspector</w:t>
      </w:r>
      <w:r>
        <w:rPr>
          <w:sz w:val="20"/>
          <w:szCs w:val="20"/>
        </w:rPr>
        <w:t xml:space="preserve"> or Architect that are later identified shall be repaired and charged back to the Contractor through a Deductive Change Order.  </w:t>
      </w:r>
    </w:p>
    <w:p w:rsidR="00E4078C" w:rsidRDefault="009760CB">
      <w:pPr>
        <w:pStyle w:val="Heading2"/>
      </w:pPr>
      <w:r>
        <w:rPr>
          <w:u w:val="single"/>
        </w:rPr>
        <w:t>Indemnification of ADA Claims.</w:t>
      </w:r>
      <w:r>
        <w:t xml:space="preserve">  ADA claims arising from failure to comply with </w:t>
      </w:r>
      <w:r>
        <w:t>Construction Documents</w:t>
      </w:r>
      <w:r>
        <w:t xml:space="preserve"> shall be indemnified, hel</w:t>
      </w:r>
      <w:r>
        <w:t xml:space="preserve">d harmless and defended by Contractor.  Further, any withholdings for ADA violations in Article </w:t>
      </w:r>
      <w:r>
        <w:t>29.4</w:t>
      </w:r>
      <w:r>
        <w:t xml:space="preserve"> shall include potential redesign costs and an accelerated repair costs due to the potential for ADA claims arising from DSA posting of ADA violations on th</w:t>
      </w:r>
      <w:r>
        <w:t>e Project.</w:t>
      </w:r>
    </w:p>
    <w:p w:rsidR="00E4078C" w:rsidRDefault="009760CB">
      <w:pPr>
        <w:pStyle w:val="Heading1"/>
      </w:pPr>
      <w:bookmarkStart w:id="226" w:name="_Toc256000044"/>
      <w:bookmarkStart w:id="227" w:name="_Toc365549855"/>
      <w:bookmarkStart w:id="228" w:name="_Toc472525923"/>
      <w:r>
        <w:t>PATENTS, ROYALTIES, AND INDEMNITIES</w:t>
      </w:r>
      <w:bookmarkEnd w:id="226"/>
      <w:bookmarkEnd w:id="227"/>
      <w:bookmarkEnd w:id="228"/>
    </w:p>
    <w:p w:rsidR="00E4078C" w:rsidRDefault="009760CB">
      <w:pPr>
        <w:pStyle w:val="BodyTextFlush"/>
        <w:spacing w:before="200"/>
        <w:rPr>
          <w:sz w:val="20"/>
          <w:szCs w:val="20"/>
        </w:rPr>
      </w:pPr>
      <w:r>
        <w:rPr>
          <w:sz w:val="20"/>
          <w:szCs w:val="20"/>
        </w:rPr>
        <w:t>The Contractor shall hold and save the District and its officers, agents, and employees harmless from liability of any nature or kind, including cost and expense, for or on account of any patented or unpatente</w:t>
      </w:r>
      <w:r>
        <w:rPr>
          <w:sz w:val="20"/>
          <w:szCs w:val="20"/>
        </w:rPr>
        <w:t>d invention, process, article, or appliance manufactured or used in the performance of this Construction Services Agreement, including its use by the District, except to the extent a method or means was specifically required by the Contract Documents.</w:t>
      </w:r>
    </w:p>
    <w:p w:rsidR="00E4078C" w:rsidRDefault="009760CB">
      <w:pPr>
        <w:pStyle w:val="Heading1"/>
      </w:pPr>
      <w:bookmarkStart w:id="229" w:name="_Toc256000045"/>
      <w:bookmarkStart w:id="230" w:name="_Toc365549856"/>
      <w:bookmarkStart w:id="231" w:name="_Toc472525924"/>
      <w:r>
        <w:t>EXCI</w:t>
      </w:r>
      <w:r>
        <w:t>SE TAX</w:t>
      </w:r>
      <w:bookmarkEnd w:id="229"/>
      <w:bookmarkEnd w:id="230"/>
      <w:bookmarkEnd w:id="231"/>
    </w:p>
    <w:p w:rsidR="00E4078C" w:rsidRDefault="009760CB">
      <w:pPr>
        <w:pStyle w:val="BodyTextFlush"/>
        <w:spacing w:before="200"/>
        <w:rPr>
          <w:sz w:val="20"/>
          <w:szCs w:val="20"/>
        </w:rPr>
      </w:pPr>
      <w:r>
        <w:rPr>
          <w:sz w:val="20"/>
          <w:szCs w:val="20"/>
        </w:rPr>
        <w:t xml:space="preserve">If under federal excise tax law any transaction hereunder constitutes a sale on which a federal excise tax is imposed and the sale is exempt from such excise tax because it is a sale to a state or local government for its exclusive use, the </w:t>
      </w:r>
      <w:r>
        <w:rPr>
          <w:sz w:val="20"/>
          <w:szCs w:val="20"/>
        </w:rPr>
        <w:t>District, upon request, will execute a certificate of exemption which will certify (1) that the District is a political subdivision of the state for the purposes of such exemption and (2) that the sale is for the exclusive use of the District.  No excise t</w:t>
      </w:r>
      <w:r>
        <w:rPr>
          <w:sz w:val="20"/>
          <w:szCs w:val="20"/>
        </w:rPr>
        <w:t>ax for such materials shall be included in the GMP.</w:t>
      </w:r>
    </w:p>
    <w:p w:rsidR="00E4078C" w:rsidRDefault="009760CB">
      <w:pPr>
        <w:pStyle w:val="Heading1"/>
      </w:pPr>
      <w:bookmarkStart w:id="232" w:name="_Toc256000046"/>
      <w:bookmarkStart w:id="233" w:name="_Toc365549857"/>
      <w:bookmarkStart w:id="234" w:name="_Toc472525925"/>
      <w:r>
        <w:lastRenderedPageBreak/>
        <w:t>PROHIBITED INTERESTS</w:t>
      </w:r>
      <w:bookmarkEnd w:id="232"/>
      <w:bookmarkEnd w:id="233"/>
      <w:bookmarkEnd w:id="234"/>
    </w:p>
    <w:p w:rsidR="00E4078C" w:rsidRDefault="009760CB">
      <w:pPr>
        <w:pStyle w:val="BodyTextFlush"/>
        <w:spacing w:before="200"/>
        <w:rPr>
          <w:sz w:val="20"/>
          <w:szCs w:val="20"/>
        </w:rPr>
      </w:pPr>
      <w:r>
        <w:rPr>
          <w:sz w:val="20"/>
          <w:szCs w:val="20"/>
        </w:rPr>
        <w:t>No official of District and no District representative who is authorized in such capacity and on behalf of District to negotiate, make, accept, or approve, or to take part in negotiat</w:t>
      </w:r>
      <w:r>
        <w:rPr>
          <w:sz w:val="20"/>
          <w:szCs w:val="20"/>
        </w:rPr>
        <w:t>ing, making, accepting or approving any architectural, engineering, inspection, construction or material supply contract or any subcontract in connection with construction of Project, shall be or become directly or indirectly interested financially in this</w:t>
      </w:r>
      <w:r>
        <w:rPr>
          <w:sz w:val="20"/>
          <w:szCs w:val="20"/>
        </w:rPr>
        <w:t xml:space="preserve"> Construction Services Agreement or any part thereof.  No officer, employee, architect, attorney, engineer or inspector of or for District who is authorized in such capacity and on behalf of District to exercise any executive, supervisory or other similar </w:t>
      </w:r>
      <w:r>
        <w:rPr>
          <w:sz w:val="20"/>
          <w:szCs w:val="20"/>
        </w:rPr>
        <w:t>functions in connection with construction of Project, shall become directly or indirectly interested financially in this Construction Services Agreement or in any part thereof.</w:t>
      </w:r>
    </w:p>
    <w:p w:rsidR="00E4078C" w:rsidRDefault="009760CB">
      <w:pPr>
        <w:pStyle w:val="Heading1"/>
      </w:pPr>
      <w:bookmarkStart w:id="235" w:name="_Toc256000047"/>
      <w:bookmarkStart w:id="236" w:name="_Toc365549858"/>
      <w:bookmarkStart w:id="237" w:name="_Toc472525926"/>
      <w:r>
        <w:t>COMPLIANCE WITH DTSC GUIDELINES – IMPORTED SOIL/SOILS INSPECTION</w:t>
      </w:r>
      <w:bookmarkEnd w:id="235"/>
      <w:bookmarkEnd w:id="236"/>
      <w:bookmarkEnd w:id="237"/>
    </w:p>
    <w:p w:rsidR="00E4078C" w:rsidRDefault="009760CB">
      <w:pPr>
        <w:pStyle w:val="Heading2"/>
      </w:pPr>
      <w:r>
        <w:t>If the Project</w:t>
      </w:r>
      <w:r>
        <w:t xml:space="preserve"> requires the use of imported soils, the Contractor shall be responsible to use and shall certify that the imported material it uses is free of any hazardous and/or toxic substance or material of any nature or type as defined in accordance with California </w:t>
      </w:r>
      <w:r>
        <w:t>Law and the California Health and Safety Code.  The District reserves the right to reject any imported material that has come from agricultural or commercial land uses.  Contractor must notify the District of the source of material and comply with the appl</w:t>
      </w:r>
      <w:r>
        <w:t>icable Regional Water Quality Control Board Resolution and when applicable, with the guidelines of the Department of Toxic Substances Control (DTSC).</w:t>
      </w:r>
    </w:p>
    <w:p w:rsidR="00E4078C" w:rsidRDefault="009760CB">
      <w:pPr>
        <w:pStyle w:val="Heading2"/>
      </w:pPr>
      <w:r>
        <w:t>Unless otherwise provided, when a soils investigation report obtained from test holes at the site is avail</w:t>
      </w:r>
      <w:r>
        <w:t xml:space="preserve">able, such report shall not be a part of this contract.  Nevertheless, with respect to any such soils investigation and/or geotechnical report regarding the site, it shall be the responsibility of the Contractor to review and be familiar with such report. </w:t>
      </w:r>
      <w:r>
        <w:t xml:space="preserve"> Any information obtained from such report or any information given on drawings as to subsurface soil condition or to elevations of existing grades or elevations of underlying rock is approximate only, is not guaranteed, and does not form a part of the con</w:t>
      </w:r>
      <w:r>
        <w:t>tract, unless otherwise specifically provided.  Contractor is required to make a visual examination of site and must make whatever tests it deems appropriate to determine the underground condition of the soil.  Limited soil tests and subsurface investigati</w:t>
      </w:r>
      <w:r>
        <w:t>ons, if any, are available for review and consideration by Contractor and were conducted for the purpose of design only.  Subsurface investigation information is made available by District solely as a matter of convenience and general information for Contr</w:t>
      </w:r>
      <w:r>
        <w:t xml:space="preserve">actor and Contractor is expected to review and be familiar with such information.  No representation is made by District or Architect that information provided is completely representative of all conditions and materials which may be encountered.  If such </w:t>
      </w:r>
      <w:r>
        <w:t>a report is referenced in the Contract Documents for performance of the Project, such reference shall be to establish minimum requirements only.  Further, no representation is made by District or Architect that information provided is solely adequate for p</w:t>
      </w:r>
      <w:r>
        <w:t>urposes of construction.  District disclaims responsibility for interpretations by Contractor of soil and subsurface investigation information, such as in protecting soil-bearing values, rock profiles, presence and scope of boulders and cobbles, soil stabi</w:t>
      </w:r>
      <w:r>
        <w:t>lity and the presence, level and extent of underground water.  Contractor shall determine means, methods, techniques and sequences necessary to achieve required characteristics of completed Work.  Conditions found after execution of the Construction Servic</w:t>
      </w:r>
      <w:r>
        <w:t>es Agreement to be materially different from those reported and which are not customarily encountered in the geographic area of the Project hall be governed by provisions of this Construction Services Agreement for unforeseen conditions.</w:t>
      </w:r>
    </w:p>
    <w:p w:rsidR="00E4078C" w:rsidRDefault="009760CB">
      <w:pPr>
        <w:pStyle w:val="Heading1"/>
      </w:pPr>
      <w:bookmarkStart w:id="238" w:name="_Toc256000048"/>
      <w:bookmarkStart w:id="239" w:name="_Toc365549859"/>
      <w:bookmarkStart w:id="240" w:name="_Toc472525927"/>
      <w:r>
        <w:t>HAZARDOUS WASTE AN</w:t>
      </w:r>
      <w:r>
        <w:t>D UNKNOWN PHYSICAL CONDITIONS</w:t>
      </w:r>
      <w:bookmarkEnd w:id="238"/>
      <w:bookmarkEnd w:id="239"/>
      <w:bookmarkEnd w:id="240"/>
    </w:p>
    <w:p w:rsidR="00E4078C" w:rsidRDefault="009760CB">
      <w:pPr>
        <w:pStyle w:val="BodyTextFlush"/>
        <w:spacing w:before="200"/>
        <w:rPr>
          <w:sz w:val="20"/>
          <w:szCs w:val="20"/>
        </w:rPr>
      </w:pPr>
      <w:r>
        <w:rPr>
          <w:sz w:val="20"/>
          <w:szCs w:val="20"/>
        </w:rPr>
        <w:t>Contractor shall promptly, and before the following conditions are disturbed, notify the District, in writing, of any:</w:t>
      </w:r>
    </w:p>
    <w:p w:rsidR="00E4078C" w:rsidRDefault="009760CB">
      <w:pPr>
        <w:pStyle w:val="ListNumber"/>
      </w:pPr>
      <w:r>
        <w:t>Material that Contractor believes may be material that is hazardous waste, as defined in Section 25117 of t</w:t>
      </w:r>
      <w:r>
        <w:t>he Health and Safety Code that is required to be removed to a Class I, Class II, or Class III disposal site in accordance with provisions of existing law.</w:t>
      </w:r>
    </w:p>
    <w:p w:rsidR="00E4078C" w:rsidRDefault="009760CB">
      <w:pPr>
        <w:pStyle w:val="ListNumber"/>
      </w:pPr>
      <w:r>
        <w:lastRenderedPageBreak/>
        <w:t>Subsurface or latent physical conditions at the Site differing from those indicated, including geolog</w:t>
      </w:r>
      <w:r>
        <w:t>ical, soils, and or water table issues which impede construction or increase Construction Costs.</w:t>
      </w:r>
    </w:p>
    <w:p w:rsidR="00E4078C" w:rsidRDefault="009760CB">
      <w:pPr>
        <w:pStyle w:val="ListNumber"/>
      </w:pPr>
      <w:r>
        <w:t>Unknown physical conditions at the Site (not including structures or improvements) of any unusual nature, different materially from those ordinarily encountere</w:t>
      </w:r>
      <w:r>
        <w:t>d and generally recognized as inherent in work of the character provided for in the Construction Services Agreement.</w:t>
      </w:r>
    </w:p>
    <w:p w:rsidR="00E4078C" w:rsidRDefault="009760CB">
      <w:pPr>
        <w:pStyle w:val="Heading2"/>
      </w:pPr>
      <w:r>
        <w:t>District shall promptly investigate the conditions, and if it finds that the conditions materially so differ, and the materials that are no</w:t>
      </w:r>
      <w:r>
        <w:t xml:space="preserve">t on reports or documents supplied or reviewed as part of Contractor’s Due Diligence shall be submitted as a Change Order under Article </w:t>
      </w:r>
      <w:r>
        <w:t>17</w:t>
      </w:r>
      <w:r>
        <w:t xml:space="preserve"> and, upon approval, shall be </w:t>
      </w:r>
      <w:r>
        <w:t>allocated to the Unforeseen Allowance</w:t>
      </w:r>
      <w:r>
        <w:t xml:space="preserve">.  </w:t>
      </w:r>
    </w:p>
    <w:p w:rsidR="00E4078C" w:rsidRDefault="009760CB">
      <w:pPr>
        <w:pStyle w:val="Heading2"/>
      </w:pPr>
      <w:r>
        <w:t>In the event that a dispute arises between Dist</w:t>
      </w:r>
      <w:r>
        <w:t>rict and Contractor whether the conditions materi</w:t>
      </w:r>
      <w:r>
        <w:t>ally differ from Due Diligence D</w:t>
      </w:r>
      <w:r>
        <w:t>ocuments reviewed for hazardous substances, or cause a decrease or increase in Contractor’s cost of, or time required for, performance of any part of the work, Contractor shal</w:t>
      </w:r>
      <w:r>
        <w:t xml:space="preserve">l not be excused from any scheduled completion date provided for by this Construction Services Agreement but shall proceed with all work to be performed under the Construction Services Agreement.  </w:t>
      </w:r>
    </w:p>
    <w:p w:rsidR="00E4078C" w:rsidRDefault="009760CB">
      <w:pPr>
        <w:pStyle w:val="Heading1"/>
      </w:pPr>
      <w:bookmarkStart w:id="241" w:name="_Toc256000049"/>
      <w:bookmarkStart w:id="242" w:name="_Toc365549860"/>
      <w:bookmarkStart w:id="243" w:name="_Toc472525928"/>
      <w:r>
        <w:t>NO ASBESTOS CERTIFICATION</w:t>
      </w:r>
      <w:bookmarkEnd w:id="241"/>
      <w:bookmarkEnd w:id="242"/>
      <w:bookmarkEnd w:id="243"/>
    </w:p>
    <w:p w:rsidR="00E4078C" w:rsidRDefault="009760CB">
      <w:pPr>
        <w:pStyle w:val="Heading2"/>
      </w:pPr>
      <w:r>
        <w:rPr>
          <w:u w:val="single"/>
        </w:rPr>
        <w:t>Asbestos Free Installation Certi</w:t>
      </w:r>
      <w:r>
        <w:rPr>
          <w:u w:val="single"/>
        </w:rPr>
        <w:t>fication:</w:t>
      </w:r>
      <w:r>
        <w:t xml:space="preserve"> Contractor shall execute and submit an “Asbestos Free Materials Certification,” and further, is aware of the following</w:t>
      </w:r>
    </w:p>
    <w:p w:rsidR="00E4078C" w:rsidRDefault="009760CB">
      <w:pPr>
        <w:pStyle w:val="Heading3"/>
      </w:pPr>
      <w:r>
        <w:t>Should asbestos containing materials be installed by the Contractor in violation of this certification, or if removal of asbest</w:t>
      </w:r>
      <w:r>
        <w:t>os containing materials is part of the Project, decontaminations and removals will be performed in accordance with the requirements of all applicable laws and will meet the following criteria:</w:t>
      </w:r>
    </w:p>
    <w:p w:rsidR="00E4078C" w:rsidRDefault="009760CB">
      <w:pPr>
        <w:pStyle w:val="Heading4"/>
      </w:pPr>
      <w:r>
        <w:t>Decontamination and removal of work found to contain asbestos o</w:t>
      </w:r>
      <w:r>
        <w:t>r work installed with asbestos containing equipment shall be done only under the supervision of a qualified consultant, knowledgeable in the field of asbestos abatement and accredited by the Environmental Protection Agency (EPA).</w:t>
      </w:r>
    </w:p>
    <w:p w:rsidR="00E4078C" w:rsidRDefault="009760CB">
      <w:pPr>
        <w:pStyle w:val="Heading4"/>
      </w:pPr>
      <w:r>
        <w:t>The asbestos removal contr</w:t>
      </w:r>
      <w:r>
        <w:t>actor shall be an EPA accredited contractor qualified in the removal of asbestos and shall be chosen and approved by the asbestos consultant who shall have sole discretion and final determination in this matter.</w:t>
      </w:r>
    </w:p>
    <w:p w:rsidR="00E4078C" w:rsidRDefault="009760CB">
      <w:pPr>
        <w:pStyle w:val="Heading4"/>
      </w:pPr>
      <w:r>
        <w:t xml:space="preserve">The asbestos consultant shall be chosen and </w:t>
      </w:r>
      <w:r>
        <w:t>approved by the District which shall have sole discretion and final determination in this matter.</w:t>
      </w:r>
    </w:p>
    <w:p w:rsidR="00E4078C" w:rsidRDefault="009760CB">
      <w:pPr>
        <w:pStyle w:val="Heading4"/>
      </w:pPr>
      <w:r>
        <w:t>The work will not be accepted until asbestos contamination is reduced to levels deemed acceptable by the asbestos consultant.</w:t>
      </w:r>
    </w:p>
    <w:p w:rsidR="00E4078C" w:rsidRDefault="009760CB">
      <w:pPr>
        <w:pStyle w:val="Heading3"/>
      </w:pPr>
      <w:r>
        <w:t>If removal of asbestos containin</w:t>
      </w:r>
      <w:r>
        <w:t>g materials is part of the Project, the cost of all asbestos removal, including, but not necessarily limited to the cost of the asbestos removal contractor, the cost of the asbestos consultant, analytical and laboratory fees, time delays and additional cos</w:t>
      </w:r>
      <w:r>
        <w:t>ts that may be incurred by the District shall be borne entirely by the Contractor.</w:t>
      </w:r>
    </w:p>
    <w:p w:rsidR="00E4078C" w:rsidRDefault="009760CB">
      <w:pPr>
        <w:pStyle w:val="Heading3"/>
      </w:pPr>
      <w:r>
        <w:t>Hold Harmless:  Interface of work for the Project with work containing asbestos shall be executed by the Contractor at his/her risk and at his/her discretion with full knowl</w:t>
      </w:r>
      <w:r>
        <w:t xml:space="preserve">edge of the currently accepted standards, hazards, risks and liabilities associated with asbestos work and asbestos containing products.  By execution of the </w:t>
      </w:r>
      <w:r>
        <w:lastRenderedPageBreak/>
        <w:t>Construction Services Agreement the Contractor acknowledges the above and agrees to the fullest ex</w:t>
      </w:r>
      <w:r>
        <w:t xml:space="preserve">tent permitted by law to hold harmless the District, its  Board and each member of the Board, its officers, employees, agents, representatives, including its </w:t>
      </w:r>
      <w:r>
        <w:t>A</w:t>
      </w:r>
      <w:r>
        <w:t xml:space="preserve">rchitect and assigns, for all asbestos liability which may be associated with this work.  The </w:t>
      </w:r>
      <w:r>
        <w:t>Contractor further agrees to instruct his/her employees with respect to the above mentioned standards, hazards, risk and liabilities.</w:t>
      </w:r>
    </w:p>
    <w:p w:rsidR="00E4078C" w:rsidRDefault="009760CB">
      <w:pPr>
        <w:pStyle w:val="Heading1"/>
      </w:pPr>
      <w:bookmarkStart w:id="244" w:name="_Toc256000050"/>
      <w:bookmarkStart w:id="245" w:name="_Toc365549861"/>
      <w:bookmarkStart w:id="246" w:name="_Toc472525929"/>
      <w:r>
        <w:t>LAWS AND REGULATIONS</w:t>
      </w:r>
      <w:bookmarkEnd w:id="244"/>
      <w:bookmarkEnd w:id="245"/>
      <w:bookmarkEnd w:id="246"/>
    </w:p>
    <w:p w:rsidR="00E4078C" w:rsidRDefault="009760CB">
      <w:pPr>
        <w:pStyle w:val="BodyTextFlush"/>
        <w:spacing w:before="200"/>
        <w:rPr>
          <w:sz w:val="20"/>
          <w:szCs w:val="20"/>
        </w:rPr>
      </w:pPr>
      <w:r>
        <w:rPr>
          <w:sz w:val="20"/>
          <w:szCs w:val="20"/>
        </w:rPr>
        <w:t>Contractor shall give all notices and comply with all laws, ordinances, rules, and regulations bearin</w:t>
      </w:r>
      <w:r>
        <w:rPr>
          <w:sz w:val="20"/>
          <w:szCs w:val="20"/>
        </w:rPr>
        <w:t xml:space="preserve">g on conduct of work as indicated and specified.  If Contractor observes that drawings and specifications are at variance therewith, it shall promptly notify Architect in writing and any necessary changes shall be adjusted as provided in this Construction </w:t>
      </w:r>
      <w:r>
        <w:rPr>
          <w:sz w:val="20"/>
          <w:szCs w:val="20"/>
        </w:rPr>
        <w:t>Services Agreement for changes in work.  If Contractor performs any work knowing it to be contrary to such laws, ordinances, rules and regulations, and without such notice to the District’s Architect, it shall bear all costs arising therefrom.</w:t>
      </w:r>
    </w:p>
    <w:p w:rsidR="00E4078C" w:rsidRDefault="009760CB">
      <w:pPr>
        <w:pStyle w:val="Heading1"/>
      </w:pPr>
      <w:bookmarkStart w:id="247" w:name="_Toc256000051"/>
      <w:bookmarkStart w:id="248" w:name="_Toc365549863"/>
      <w:bookmarkStart w:id="249" w:name="_Toc472525930"/>
      <w:r>
        <w:t>AGREEMENT MO</w:t>
      </w:r>
      <w:r>
        <w:t>DIFICATIONS</w:t>
      </w:r>
      <w:bookmarkEnd w:id="247"/>
      <w:bookmarkEnd w:id="248"/>
      <w:bookmarkEnd w:id="249"/>
    </w:p>
    <w:p w:rsidR="00E4078C" w:rsidRDefault="009760CB">
      <w:pPr>
        <w:pStyle w:val="BodyTextFlush"/>
        <w:spacing w:before="200"/>
        <w:rPr>
          <w:sz w:val="20"/>
          <w:szCs w:val="20"/>
        </w:rPr>
      </w:pPr>
      <w:r>
        <w:rPr>
          <w:sz w:val="20"/>
          <w:szCs w:val="20"/>
        </w:rPr>
        <w:t>No waiver, alteration or modification of any of the provisions of this Construction Services Agreement shall be binding upon either District or Contractor unless the same shall be in writing and signed by both District and Contractor.</w:t>
      </w:r>
    </w:p>
    <w:p w:rsidR="00E4078C" w:rsidRDefault="009760CB">
      <w:pPr>
        <w:pStyle w:val="Heading1"/>
      </w:pPr>
      <w:bookmarkStart w:id="250" w:name="_Toc256000052"/>
      <w:bookmarkStart w:id="251" w:name="_Toc365549864"/>
      <w:bookmarkStart w:id="252" w:name="_Toc472525931"/>
      <w:r>
        <w:t>NOTICES</w:t>
      </w:r>
      <w:bookmarkEnd w:id="250"/>
      <w:bookmarkEnd w:id="251"/>
      <w:bookmarkEnd w:id="252"/>
    </w:p>
    <w:p w:rsidR="00E4078C" w:rsidRDefault="009760CB">
      <w:pPr>
        <w:pStyle w:val="BodyTextFlush"/>
        <w:spacing w:before="200"/>
        <w:rPr>
          <w:sz w:val="20"/>
          <w:szCs w:val="20"/>
        </w:rPr>
      </w:pPr>
      <w:r>
        <w:rPr>
          <w:sz w:val="20"/>
          <w:szCs w:val="20"/>
        </w:rPr>
        <w:t>A</w:t>
      </w:r>
      <w:r>
        <w:rPr>
          <w:sz w:val="20"/>
          <w:szCs w:val="20"/>
        </w:rPr>
        <w:t>ll communications in writing between District and Contractor</w:t>
      </w:r>
      <w:r>
        <w:rPr>
          <w:sz w:val="20"/>
          <w:szCs w:val="20"/>
        </w:rPr>
        <w:t>, including without limit</w:t>
      </w:r>
      <w:r>
        <w:rPr>
          <w:sz w:val="20"/>
          <w:szCs w:val="20"/>
        </w:rPr>
        <w:t>ation, applications for payment</w:t>
      </w:r>
      <w:r>
        <w:rPr>
          <w:sz w:val="20"/>
          <w:szCs w:val="20"/>
        </w:rPr>
        <w:t>,</w:t>
      </w:r>
      <w:r>
        <w:rPr>
          <w:sz w:val="20"/>
          <w:szCs w:val="20"/>
        </w:rPr>
        <w:t xml:space="preserve"> </w:t>
      </w:r>
      <w:r>
        <w:rPr>
          <w:sz w:val="20"/>
          <w:szCs w:val="20"/>
        </w:rPr>
        <w:t>shall be deemed to have been received by the addressee if delivered to the person for whom they are intended or if sent by registered mail</w:t>
      </w:r>
      <w:r>
        <w:rPr>
          <w:sz w:val="20"/>
          <w:szCs w:val="20"/>
        </w:rPr>
        <w:t xml:space="preserve">, return receipt requested, or by telex, telegram, or fax followed by regular mail, addressed pursuant to the Notice Section of Article </w:t>
      </w:r>
      <w:r>
        <w:rPr>
          <w:sz w:val="20"/>
          <w:szCs w:val="20"/>
        </w:rPr>
        <w:t>3.</w:t>
      </w:r>
    </w:p>
    <w:p w:rsidR="00E4078C" w:rsidRDefault="009760CB">
      <w:pPr>
        <w:pStyle w:val="Heading1"/>
      </w:pPr>
      <w:bookmarkStart w:id="253" w:name="_Toc256000053"/>
      <w:bookmarkStart w:id="254" w:name="_Toc365549865"/>
      <w:bookmarkStart w:id="255" w:name="_Toc472525932"/>
      <w:r>
        <w:t>THIRD-PARTY CLAIMS</w:t>
      </w:r>
      <w:bookmarkEnd w:id="253"/>
      <w:bookmarkEnd w:id="254"/>
      <w:bookmarkEnd w:id="255"/>
    </w:p>
    <w:p w:rsidR="00E4078C" w:rsidRDefault="009760CB">
      <w:pPr>
        <w:pStyle w:val="BodyTextFlush"/>
        <w:spacing w:before="200"/>
        <w:rPr>
          <w:sz w:val="20"/>
          <w:szCs w:val="20"/>
        </w:rPr>
      </w:pPr>
      <w:r>
        <w:rPr>
          <w:sz w:val="20"/>
          <w:szCs w:val="20"/>
        </w:rPr>
        <w:t xml:space="preserve">Pursuant to Public Contract Code section 9201(b) and (c), District shall provide Contractor with </w:t>
      </w:r>
      <w:r>
        <w:rPr>
          <w:sz w:val="20"/>
          <w:szCs w:val="20"/>
        </w:rPr>
        <w:t>timely notification of the receipt of any third-party claim, relating to the Contract.  District is entitled to recover its reasonable costs incurred in providing such notification.</w:t>
      </w:r>
    </w:p>
    <w:p w:rsidR="00E4078C" w:rsidRDefault="009760CB">
      <w:pPr>
        <w:pStyle w:val="Heading1"/>
      </w:pPr>
      <w:bookmarkStart w:id="256" w:name="_Toc256000054"/>
      <w:bookmarkStart w:id="257" w:name="_Toc365549866"/>
      <w:bookmarkStart w:id="258" w:name="_Toc472525933"/>
      <w:r>
        <w:t>ASSIGNMENT</w:t>
      </w:r>
      <w:bookmarkEnd w:id="256"/>
      <w:bookmarkEnd w:id="257"/>
      <w:bookmarkEnd w:id="258"/>
    </w:p>
    <w:p w:rsidR="00E4078C" w:rsidRDefault="009760CB">
      <w:pPr>
        <w:pStyle w:val="BodyTextFlush"/>
        <w:spacing w:before="200"/>
        <w:rPr>
          <w:sz w:val="20"/>
          <w:szCs w:val="20"/>
        </w:rPr>
      </w:pPr>
      <w:r>
        <w:rPr>
          <w:sz w:val="20"/>
          <w:szCs w:val="20"/>
        </w:rPr>
        <w:t xml:space="preserve">Except Contractor’s responsibility to assign </w:t>
      </w:r>
      <w:r>
        <w:rPr>
          <w:sz w:val="20"/>
          <w:szCs w:val="20"/>
        </w:rPr>
        <w:t>Subcontractor</w:t>
      </w:r>
      <w:r>
        <w:rPr>
          <w:sz w:val="20"/>
          <w:szCs w:val="20"/>
        </w:rPr>
        <w:t>s and</w:t>
      </w:r>
      <w:r>
        <w:rPr>
          <w:sz w:val="20"/>
          <w:szCs w:val="20"/>
        </w:rPr>
        <w:t xml:space="preserve"> material suppliers to District upon Project Completion and the running of the Warranty Period, Contractor shall not assign or sublet the Lease, Sublease or this Construction Services Agreement, nor shall Contractor assign any monies due or to become due t</w:t>
      </w:r>
      <w:r>
        <w:rPr>
          <w:sz w:val="20"/>
          <w:szCs w:val="20"/>
        </w:rPr>
        <w:t>o it hereunder.  Contractor has unique abilities and understanding of the Project from negotiations and the Due Diligence that has been undertaken and, thus, any assignment will not transfer to the assignee the specific understanding associated with Contra</w:t>
      </w:r>
      <w:r>
        <w:rPr>
          <w:sz w:val="20"/>
          <w:szCs w:val="20"/>
        </w:rPr>
        <w:t>ctor on this Project.</w:t>
      </w:r>
    </w:p>
    <w:p w:rsidR="00E4078C" w:rsidRDefault="009760CB">
      <w:pPr>
        <w:pStyle w:val="Heading1"/>
      </w:pPr>
      <w:bookmarkStart w:id="259" w:name="_Toc256000055"/>
      <w:bookmarkStart w:id="260" w:name="_Toc365549867"/>
      <w:bookmarkStart w:id="261" w:name="_Toc472525934"/>
      <w:r>
        <w:t>HEADINGS</w:t>
      </w:r>
      <w:bookmarkEnd w:id="259"/>
      <w:bookmarkEnd w:id="260"/>
      <w:bookmarkEnd w:id="261"/>
    </w:p>
    <w:p w:rsidR="00E4078C" w:rsidRDefault="009760CB">
      <w:pPr>
        <w:pStyle w:val="BodyTextFlush"/>
        <w:spacing w:before="200"/>
        <w:rPr>
          <w:sz w:val="20"/>
          <w:szCs w:val="20"/>
        </w:rPr>
      </w:pPr>
      <w:r>
        <w:rPr>
          <w:sz w:val="20"/>
          <w:szCs w:val="20"/>
        </w:rPr>
        <w:t>The headings herein contained are inserted only as a matter of convenience and reference and are not meant to define, limit or describe the scope or intent of the Contract Documents or in any way to affect the terms and provi</w:t>
      </w:r>
      <w:r>
        <w:rPr>
          <w:sz w:val="20"/>
          <w:szCs w:val="20"/>
        </w:rPr>
        <w:t>sions set forth herein.</w:t>
      </w:r>
    </w:p>
    <w:p w:rsidR="00E4078C" w:rsidRDefault="009760CB" w:rsidP="00497183">
      <w:pPr>
        <w:pStyle w:val="Heading1"/>
      </w:pPr>
      <w:bookmarkStart w:id="262" w:name="_Toc256000056"/>
      <w:bookmarkStart w:id="263" w:name="_Toc472525935"/>
      <w:r>
        <w:t>INTEGRATION/MODIFICATION</w:t>
      </w:r>
      <w:bookmarkEnd w:id="262"/>
      <w:bookmarkEnd w:id="263"/>
    </w:p>
    <w:p w:rsidR="00E4078C" w:rsidRDefault="009760CB">
      <w:pPr>
        <w:pStyle w:val="BodyTextFlush"/>
        <w:spacing w:before="200"/>
        <w:rPr>
          <w:sz w:val="20"/>
          <w:szCs w:val="20"/>
        </w:rPr>
      </w:pPr>
      <w:r>
        <w:rPr>
          <w:sz w:val="20"/>
          <w:szCs w:val="20"/>
        </w:rPr>
        <w:t>This Construction Services Agreement represents the entire understanding of District and Contractor as to those matters contained herein, and supersedes and cancels any prior oral or written understanding, p</w:t>
      </w:r>
      <w:r>
        <w:rPr>
          <w:sz w:val="20"/>
          <w:szCs w:val="20"/>
        </w:rPr>
        <w:t>romises or representations with respect to those matters covered herein, and it shall not be amended, altered or changed except by a written agreement signed by the parties hereto.</w:t>
      </w:r>
    </w:p>
    <w:p w:rsidR="00E4078C" w:rsidRDefault="009760CB">
      <w:pPr>
        <w:pStyle w:val="Heading1"/>
      </w:pPr>
      <w:bookmarkStart w:id="264" w:name="_Toc256000057"/>
      <w:bookmarkStart w:id="265" w:name="_Toc365549868"/>
      <w:bookmarkStart w:id="266" w:name="_Toc472525936"/>
      <w:r>
        <w:lastRenderedPageBreak/>
        <w:t>APPLICABLE LAW/ PROVISIONS REQUIRED BY LAW DEEMED INSERTED</w:t>
      </w:r>
      <w:bookmarkEnd w:id="264"/>
      <w:bookmarkEnd w:id="265"/>
      <w:bookmarkEnd w:id="266"/>
    </w:p>
    <w:p w:rsidR="00E4078C" w:rsidRDefault="009760CB">
      <w:pPr>
        <w:pStyle w:val="BodyTextFlush"/>
        <w:spacing w:before="200"/>
        <w:rPr>
          <w:sz w:val="20"/>
          <w:szCs w:val="20"/>
        </w:rPr>
      </w:pPr>
      <w:r>
        <w:rPr>
          <w:sz w:val="20"/>
          <w:szCs w:val="20"/>
        </w:rPr>
        <w:t>The terms and pr</w:t>
      </w:r>
      <w:r>
        <w:rPr>
          <w:sz w:val="20"/>
          <w:szCs w:val="20"/>
        </w:rPr>
        <w:t xml:space="preserve">ovisions of this Construction Services Agreement shall be construed in accordance with the laws of the State of California.  If any action is brought in a court of law to enforce any term of this Construction Services Agreement the action shall be brought </w:t>
      </w:r>
      <w:r>
        <w:rPr>
          <w:sz w:val="20"/>
          <w:szCs w:val="20"/>
        </w:rPr>
        <w:t>in a state</w:t>
      </w:r>
      <w:r>
        <w:rPr>
          <w:sz w:val="20"/>
          <w:szCs w:val="20"/>
        </w:rPr>
        <w:t xml:space="preserve"> court situated in the County where the District is located</w:t>
      </w:r>
      <w:r>
        <w:rPr>
          <w:sz w:val="20"/>
          <w:szCs w:val="20"/>
        </w:rPr>
        <w:t>, State of California, unless a court finds jurisdiction or venue is only proper in a federal court, or a court outside this county.  In the event of any such litigation between the parti</w:t>
      </w:r>
      <w:r>
        <w:rPr>
          <w:sz w:val="20"/>
          <w:szCs w:val="20"/>
        </w:rPr>
        <w:t>es, the parties shall pay for their respective costs incurred, including attorneys’ fees.</w:t>
      </w:r>
    </w:p>
    <w:p w:rsidR="00E4078C" w:rsidRDefault="009760CB">
      <w:pPr>
        <w:pStyle w:val="BodyTextFlush"/>
        <w:spacing w:before="200"/>
        <w:rPr>
          <w:sz w:val="20"/>
          <w:szCs w:val="20"/>
        </w:rPr>
      </w:pPr>
      <w:r>
        <w:rPr>
          <w:sz w:val="20"/>
          <w:szCs w:val="20"/>
        </w:rPr>
        <w:t>Each and every provision of law and clause required by law to be inserted in this Construction Services Agreement shall be deemed to be inserted herein and the Constr</w:t>
      </w:r>
      <w:r>
        <w:rPr>
          <w:sz w:val="20"/>
          <w:szCs w:val="20"/>
        </w:rPr>
        <w:t>uction Services Agreement shall be read and enforced as though it were included herein, and if through mistake or otherwise any such provision is not inserted, or is not correctly inserted, then upon application of either party, the Construction Services A</w:t>
      </w:r>
      <w:r>
        <w:rPr>
          <w:sz w:val="20"/>
          <w:szCs w:val="20"/>
        </w:rPr>
        <w:t>greement shall forthwith be physically amended to make such insertion or correction.</w:t>
      </w:r>
    </w:p>
    <w:p w:rsidR="00E4078C" w:rsidRDefault="009760CB">
      <w:pPr>
        <w:pStyle w:val="Heading1"/>
      </w:pPr>
      <w:bookmarkStart w:id="267" w:name="_Toc256000058"/>
      <w:bookmarkStart w:id="268" w:name="_Toc365549869"/>
      <w:bookmarkStart w:id="269" w:name="_Toc472525937"/>
      <w:r>
        <w:t>SUCCESSION OF RIGHTS AND OBLIGATIONS</w:t>
      </w:r>
      <w:bookmarkEnd w:id="267"/>
      <w:bookmarkEnd w:id="268"/>
      <w:bookmarkEnd w:id="269"/>
    </w:p>
    <w:p w:rsidR="00E4078C" w:rsidRDefault="009760CB">
      <w:pPr>
        <w:pStyle w:val="BodyTextFlush"/>
        <w:spacing w:before="200"/>
        <w:rPr>
          <w:sz w:val="20"/>
          <w:szCs w:val="20"/>
        </w:rPr>
      </w:pPr>
      <w:r>
        <w:rPr>
          <w:sz w:val="20"/>
          <w:szCs w:val="20"/>
        </w:rPr>
        <w:t>All rights and obligations under this Construction Services Agreement shall inure to and be binding upon the successors and assigns of</w:t>
      </w:r>
      <w:r>
        <w:rPr>
          <w:sz w:val="20"/>
          <w:szCs w:val="20"/>
        </w:rPr>
        <w:t xml:space="preserve"> the parties hereto.</w:t>
      </w:r>
    </w:p>
    <w:p w:rsidR="003A5418" w:rsidRPr="00CF7495" w:rsidRDefault="009760CB" w:rsidP="003A5418">
      <w:pPr>
        <w:pStyle w:val="Heading1"/>
      </w:pPr>
      <w:bookmarkStart w:id="270" w:name="_Toc256000059"/>
      <w:r w:rsidRPr="00CF7495">
        <w:t>FEDERALLY FUNDED CONTRACT COMPLIANCE.</w:t>
      </w:r>
      <w:bookmarkEnd w:id="270"/>
    </w:p>
    <w:p w:rsidR="003A5418" w:rsidRPr="00CF7495" w:rsidRDefault="009760CB" w:rsidP="003A5418">
      <w:pPr>
        <w:pStyle w:val="BodyTextFirstIndent"/>
        <w:rPr>
          <w:sz w:val="20"/>
          <w:szCs w:val="20"/>
        </w:rPr>
      </w:pPr>
      <w:r w:rsidRPr="00CF7495">
        <w:rPr>
          <w:sz w:val="20"/>
          <w:szCs w:val="20"/>
        </w:rPr>
        <w:t>The Federally Funded Contract Compliance Form (“Federal Compliance Form”) that was signed by the Contractor and submitted to the District with the Contractor’s proposal in response to the District’</w:t>
      </w:r>
      <w:r w:rsidRPr="00CF7495">
        <w:rPr>
          <w:sz w:val="20"/>
          <w:szCs w:val="20"/>
        </w:rPr>
        <w:t xml:space="preserve">s Request for Proposals for Pre-Construction and Lease-Leaseback Services for </w:t>
      </w:r>
      <w:r>
        <w:rPr>
          <w:sz w:val="20"/>
          <w:szCs w:val="20"/>
        </w:rPr>
        <w:t xml:space="preserve">the </w:t>
      </w:r>
      <w:r w:rsidRPr="00E36A8E">
        <w:rPr>
          <w:sz w:val="20"/>
          <w:szCs w:val="20"/>
        </w:rPr>
        <w:t>Woodland High School HVAC Replacement Project</w:t>
      </w:r>
      <w:r w:rsidRPr="00CF7495">
        <w:rPr>
          <w:sz w:val="20"/>
          <w:szCs w:val="20"/>
        </w:rPr>
        <w:t xml:space="preserve"> is hereby incorporated by reference as if fully setout herein.   The Contractor agrees to comply with the applicable federal laws and regulations specified in the Federal Compliance Form throughout the duration of this Project. </w:t>
      </w:r>
    </w:p>
    <w:p w:rsidR="00E4078C" w:rsidRDefault="009760CB">
      <w:pPr>
        <w:pStyle w:val="BodyTextFirstIndent"/>
        <w:spacing w:before="200"/>
        <w:rPr>
          <w:sz w:val="20"/>
          <w:szCs w:val="20"/>
        </w:rPr>
      </w:pPr>
      <w:r>
        <w:rPr>
          <w:sz w:val="20"/>
          <w:szCs w:val="20"/>
        </w:rPr>
        <w:t>IN WITNESS WHEREOF, the pa</w:t>
      </w:r>
      <w:r>
        <w:rPr>
          <w:sz w:val="20"/>
          <w:szCs w:val="20"/>
        </w:rPr>
        <w:t>rties hereto have, by their duly authorized representatives, executed this Construction Services Agreement, in duplicate, as of the day and year first above written.</w:t>
      </w:r>
    </w:p>
    <w:tbl>
      <w:tblPr>
        <w:tblStyle w:val="TableGrid"/>
        <w:tblW w:w="0" w:type="auto"/>
        <w:tblLook w:val="04A0" w:firstRow="1" w:lastRow="0" w:firstColumn="1" w:lastColumn="0" w:noHBand="0" w:noVBand="1"/>
      </w:tblPr>
      <w:tblGrid>
        <w:gridCol w:w="4788"/>
        <w:gridCol w:w="4788"/>
      </w:tblGrid>
      <w:tr w:rsidR="00C05B7A">
        <w:tc>
          <w:tcPr>
            <w:tcW w:w="4788" w:type="dxa"/>
          </w:tcPr>
          <w:p w:rsidR="00E4078C" w:rsidRDefault="009760CB">
            <w:pPr>
              <w:pStyle w:val="BodyTextFlush"/>
              <w:spacing w:before="200"/>
              <w:rPr>
                <w:sz w:val="20"/>
                <w:szCs w:val="20"/>
              </w:rPr>
            </w:pPr>
            <w:r>
              <w:rPr>
                <w:sz w:val="20"/>
                <w:szCs w:val="20"/>
              </w:rPr>
              <w:t>CONTRACTOR</w:t>
            </w:r>
          </w:p>
        </w:tc>
        <w:tc>
          <w:tcPr>
            <w:tcW w:w="4788" w:type="dxa"/>
          </w:tcPr>
          <w:p w:rsidR="00E4078C" w:rsidRDefault="009760CB">
            <w:pPr>
              <w:pStyle w:val="BodyTextFlush"/>
              <w:spacing w:before="200"/>
              <w:rPr>
                <w:sz w:val="20"/>
                <w:szCs w:val="20"/>
              </w:rPr>
            </w:pPr>
            <w:r>
              <w:rPr>
                <w:sz w:val="20"/>
                <w:szCs w:val="20"/>
              </w:rPr>
              <w:t>DISTRICT:</w:t>
            </w:r>
          </w:p>
        </w:tc>
      </w:tr>
      <w:tr w:rsidR="00C05B7A">
        <w:tc>
          <w:tcPr>
            <w:tcW w:w="4788" w:type="dxa"/>
          </w:tcPr>
          <w:p w:rsidR="00E4078C" w:rsidRDefault="009760CB">
            <w:pPr>
              <w:pStyle w:val="BodyTextFlush"/>
              <w:spacing w:before="200"/>
              <w:rPr>
                <w:sz w:val="20"/>
                <w:szCs w:val="20"/>
              </w:rPr>
            </w:pPr>
          </w:p>
        </w:tc>
        <w:tc>
          <w:tcPr>
            <w:tcW w:w="4788" w:type="dxa"/>
          </w:tcPr>
          <w:p w:rsidR="00E4078C" w:rsidRDefault="009760CB">
            <w:pPr>
              <w:pStyle w:val="BodyTextFlush"/>
              <w:spacing w:before="200"/>
              <w:rPr>
                <w:b/>
                <w:sz w:val="20"/>
                <w:szCs w:val="20"/>
              </w:rPr>
            </w:pPr>
            <w:r>
              <w:rPr>
                <w:b/>
                <w:sz w:val="20"/>
                <w:szCs w:val="20"/>
              </w:rPr>
              <w:t xml:space="preserve">WOODLAND JOINT UNIFIED </w:t>
            </w:r>
            <w:r>
              <w:rPr>
                <w:b/>
                <w:sz w:val="20"/>
                <w:szCs w:val="20"/>
              </w:rPr>
              <w:t>SCHOOL DISTRICT</w:t>
            </w:r>
          </w:p>
        </w:tc>
      </w:tr>
      <w:tr w:rsidR="00C05B7A">
        <w:trPr>
          <w:trHeight w:val="1647"/>
        </w:trPr>
        <w:tc>
          <w:tcPr>
            <w:tcW w:w="4788" w:type="dxa"/>
          </w:tcPr>
          <w:p w:rsidR="00E4078C" w:rsidRDefault="009760CB">
            <w:pPr>
              <w:pStyle w:val="BodyTextFlush"/>
              <w:spacing w:before="200"/>
              <w:rPr>
                <w:sz w:val="20"/>
                <w:szCs w:val="20"/>
              </w:rPr>
            </w:pPr>
          </w:p>
          <w:p w:rsidR="00E4078C" w:rsidRDefault="009760CB">
            <w:pPr>
              <w:pStyle w:val="BodyTextFlush"/>
              <w:spacing w:before="200"/>
              <w:rPr>
                <w:sz w:val="20"/>
                <w:szCs w:val="20"/>
              </w:rPr>
            </w:pPr>
          </w:p>
          <w:p w:rsidR="00E4078C" w:rsidRDefault="009760CB">
            <w:pPr>
              <w:pStyle w:val="BodyTextFlush"/>
              <w:spacing w:before="200"/>
              <w:rPr>
                <w:sz w:val="20"/>
                <w:szCs w:val="20"/>
              </w:rPr>
            </w:pPr>
            <w:r>
              <w:rPr>
                <w:sz w:val="20"/>
                <w:szCs w:val="20"/>
              </w:rPr>
              <w:t>By:</w:t>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rPr>
              <w:br/>
            </w:r>
            <w:r>
              <w:rPr>
                <w:sz w:val="20"/>
                <w:szCs w:val="20"/>
              </w:rPr>
              <w:tab/>
              <w:t>Name</w:t>
            </w:r>
            <w:r>
              <w:rPr>
                <w:sz w:val="20"/>
                <w:szCs w:val="20"/>
              </w:rPr>
              <w:br/>
            </w:r>
            <w:r>
              <w:rPr>
                <w:sz w:val="20"/>
                <w:szCs w:val="20"/>
              </w:rPr>
              <w:tab/>
              <w:t>Title</w:t>
            </w:r>
          </w:p>
        </w:tc>
        <w:tc>
          <w:tcPr>
            <w:tcW w:w="4788" w:type="dxa"/>
          </w:tcPr>
          <w:p w:rsidR="00E4078C" w:rsidRDefault="009760CB">
            <w:pPr>
              <w:pStyle w:val="BodyTextFlush"/>
              <w:spacing w:before="200"/>
              <w:rPr>
                <w:sz w:val="20"/>
                <w:szCs w:val="20"/>
              </w:rPr>
            </w:pPr>
          </w:p>
          <w:p w:rsidR="00E4078C" w:rsidRDefault="009760CB">
            <w:pPr>
              <w:pStyle w:val="BodyTextFlush"/>
              <w:spacing w:before="200"/>
              <w:rPr>
                <w:sz w:val="20"/>
                <w:szCs w:val="20"/>
              </w:rPr>
            </w:pPr>
          </w:p>
          <w:p w:rsidR="00E4078C" w:rsidRDefault="009760CB" w:rsidP="00E13A19">
            <w:pPr>
              <w:pStyle w:val="BodyTextFlush"/>
              <w:spacing w:before="200"/>
              <w:rPr>
                <w:sz w:val="20"/>
                <w:szCs w:val="20"/>
              </w:rPr>
            </w:pPr>
            <w:r>
              <w:rPr>
                <w:sz w:val="20"/>
                <w:szCs w:val="20"/>
              </w:rPr>
              <w:t>By:</w:t>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rPr>
              <w:br/>
            </w:r>
            <w:r>
              <w:rPr>
                <w:sz w:val="20"/>
                <w:szCs w:val="20"/>
              </w:rPr>
              <w:tab/>
            </w:r>
            <w:r>
              <w:rPr>
                <w:sz w:val="20"/>
                <w:szCs w:val="20"/>
              </w:rPr>
              <w:t xml:space="preserve">Associate </w:t>
            </w:r>
            <w:r>
              <w:rPr>
                <w:sz w:val="20"/>
                <w:szCs w:val="20"/>
              </w:rPr>
              <w:t>Superintendent, Business Services</w:t>
            </w:r>
          </w:p>
        </w:tc>
      </w:tr>
      <w:tr w:rsidR="00C05B7A">
        <w:trPr>
          <w:trHeight w:val="1647"/>
        </w:trPr>
        <w:tc>
          <w:tcPr>
            <w:tcW w:w="4788" w:type="dxa"/>
          </w:tcPr>
          <w:p w:rsidR="00E4078C" w:rsidRDefault="009760CB">
            <w:pPr>
              <w:pStyle w:val="BodyTextFlush"/>
              <w:spacing w:before="200"/>
              <w:rPr>
                <w:sz w:val="20"/>
                <w:szCs w:val="20"/>
              </w:rPr>
            </w:pPr>
          </w:p>
          <w:p w:rsidR="00E4078C" w:rsidRDefault="009760CB">
            <w:pPr>
              <w:pStyle w:val="BodyTextFlush"/>
              <w:spacing w:before="200"/>
              <w:rPr>
                <w:sz w:val="20"/>
                <w:szCs w:val="20"/>
              </w:rPr>
            </w:pPr>
          </w:p>
          <w:p w:rsidR="00E4078C" w:rsidRDefault="009760CB">
            <w:pPr>
              <w:pStyle w:val="BodyTextFlush"/>
              <w:spacing w:before="200"/>
              <w:rPr>
                <w:sz w:val="20"/>
                <w:szCs w:val="20"/>
              </w:rPr>
            </w:pPr>
            <w:r>
              <w:rPr>
                <w:sz w:val="20"/>
                <w:szCs w:val="20"/>
              </w:rPr>
              <w:t>DATE:____________________________</w:t>
            </w:r>
          </w:p>
        </w:tc>
        <w:tc>
          <w:tcPr>
            <w:tcW w:w="4788" w:type="dxa"/>
          </w:tcPr>
          <w:p w:rsidR="00E4078C" w:rsidRDefault="009760CB">
            <w:pPr>
              <w:pStyle w:val="BodyTextFlush"/>
              <w:spacing w:before="200"/>
              <w:rPr>
                <w:sz w:val="20"/>
                <w:szCs w:val="20"/>
              </w:rPr>
            </w:pPr>
          </w:p>
          <w:p w:rsidR="00E4078C" w:rsidRDefault="009760CB">
            <w:pPr>
              <w:pStyle w:val="BodyTextFlush"/>
              <w:spacing w:before="200"/>
              <w:rPr>
                <w:sz w:val="20"/>
                <w:szCs w:val="20"/>
              </w:rPr>
            </w:pPr>
          </w:p>
          <w:p w:rsidR="00E4078C" w:rsidRDefault="009760CB">
            <w:pPr>
              <w:pStyle w:val="BodyTextFlush"/>
              <w:spacing w:before="200"/>
              <w:rPr>
                <w:sz w:val="20"/>
                <w:szCs w:val="20"/>
              </w:rPr>
            </w:pPr>
            <w:r>
              <w:rPr>
                <w:sz w:val="20"/>
                <w:szCs w:val="20"/>
              </w:rPr>
              <w:t>DATE:____________________________</w:t>
            </w:r>
          </w:p>
        </w:tc>
      </w:tr>
    </w:tbl>
    <w:p w:rsidR="00E4078C" w:rsidRDefault="009760CB">
      <w:pPr>
        <w:pStyle w:val="BodyTextFlush"/>
        <w:spacing w:before="200"/>
        <w:rPr>
          <w:sz w:val="20"/>
          <w:szCs w:val="20"/>
        </w:rPr>
        <w:sectPr w:rsidR="00E4078C">
          <w:headerReference w:type="even" r:id="rId15"/>
          <w:headerReference w:type="default" r:id="rId16"/>
          <w:footerReference w:type="even" r:id="rId17"/>
          <w:footerReference w:type="default" r:id="rId18"/>
          <w:headerReference w:type="first" r:id="rId19"/>
          <w:footerReference w:type="first" r:id="rId20"/>
          <w:pgSz w:w="12240" w:h="15840" w:code="1"/>
          <w:pgMar w:top="1440" w:right="1440" w:bottom="1440" w:left="1440" w:header="720" w:footer="720" w:gutter="0"/>
          <w:paperSrc w:first="7" w:other="7"/>
          <w:pgNumType w:start="1"/>
          <w:cols w:space="720"/>
          <w:docGrid w:linePitch="360"/>
        </w:sectPr>
      </w:pPr>
    </w:p>
    <w:p w:rsidR="00E4078C" w:rsidRDefault="009760CB">
      <w:pPr>
        <w:pStyle w:val="Title"/>
        <w:spacing w:before="200"/>
        <w:rPr>
          <w:sz w:val="20"/>
          <w:szCs w:val="20"/>
        </w:rPr>
      </w:pPr>
      <w:bookmarkStart w:id="271" w:name="_Toc365549870"/>
      <w:r>
        <w:rPr>
          <w:sz w:val="20"/>
          <w:szCs w:val="20"/>
        </w:rPr>
        <w:lastRenderedPageBreak/>
        <w:t>EXHIBIT “A”</w:t>
      </w:r>
      <w:bookmarkEnd w:id="271"/>
    </w:p>
    <w:p w:rsidR="00E4078C" w:rsidRDefault="009760CB">
      <w:pPr>
        <w:pStyle w:val="Title"/>
        <w:spacing w:before="200"/>
        <w:rPr>
          <w:sz w:val="20"/>
          <w:szCs w:val="20"/>
        </w:rPr>
      </w:pPr>
      <w:bookmarkStart w:id="272" w:name="_Toc365549871"/>
      <w:r>
        <w:rPr>
          <w:sz w:val="20"/>
          <w:szCs w:val="20"/>
        </w:rPr>
        <w:t xml:space="preserve">SCOPE OF WORK / </w:t>
      </w:r>
      <w:bookmarkEnd w:id="272"/>
      <w:r>
        <w:rPr>
          <w:sz w:val="20"/>
          <w:szCs w:val="20"/>
        </w:rPr>
        <w:t>CONSTRUCTION DOCUMENTS</w:t>
      </w:r>
    </w:p>
    <w:p w:rsidR="00E4078C" w:rsidRDefault="009760CB">
      <w:pPr>
        <w:pStyle w:val="BodyTextFlush"/>
        <w:spacing w:before="200"/>
        <w:jc w:val="center"/>
        <w:rPr>
          <w:i/>
          <w:sz w:val="20"/>
          <w:szCs w:val="20"/>
        </w:rPr>
      </w:pPr>
      <w:r w:rsidRPr="00127C49">
        <w:rPr>
          <w:sz w:val="20"/>
          <w:szCs w:val="20"/>
        </w:rPr>
        <w:t xml:space="preserve">(Plans and Specifications for the Woodland High School HVAC </w:t>
      </w:r>
      <w:r w:rsidRPr="00127C49">
        <w:rPr>
          <w:sz w:val="20"/>
          <w:szCs w:val="20"/>
        </w:rPr>
        <w:t>Replacement Project as approved by the California Division of State Architect are on file at the District Business Office)</w:t>
      </w:r>
    </w:p>
    <w:p w:rsidR="00E4078C" w:rsidRDefault="009760CB">
      <w:pPr>
        <w:pStyle w:val="Title"/>
        <w:spacing w:before="200"/>
        <w:rPr>
          <w:sz w:val="20"/>
          <w:szCs w:val="20"/>
        </w:rPr>
      </w:pPr>
      <w:r>
        <w:rPr>
          <w:sz w:val="20"/>
          <w:szCs w:val="20"/>
        </w:rPr>
        <w:br w:type="page"/>
      </w:r>
      <w:bookmarkStart w:id="273" w:name="_Toc365549872"/>
      <w:r>
        <w:rPr>
          <w:sz w:val="20"/>
          <w:szCs w:val="20"/>
        </w:rPr>
        <w:lastRenderedPageBreak/>
        <w:t>EXHIBIT “B”</w:t>
      </w:r>
      <w:bookmarkEnd w:id="273"/>
    </w:p>
    <w:p w:rsidR="00E4078C" w:rsidRDefault="009760CB">
      <w:pPr>
        <w:pStyle w:val="Title"/>
        <w:spacing w:before="200"/>
        <w:rPr>
          <w:sz w:val="20"/>
          <w:szCs w:val="20"/>
        </w:rPr>
      </w:pPr>
      <w:bookmarkStart w:id="274" w:name="_Toc365549873"/>
      <w:r>
        <w:rPr>
          <w:sz w:val="20"/>
          <w:szCs w:val="20"/>
        </w:rPr>
        <w:t>MASTER BUDGET</w:t>
      </w:r>
      <w:bookmarkEnd w:id="274"/>
    </w:p>
    <w:p w:rsidR="00E4078C" w:rsidRDefault="009760CB">
      <w:pPr>
        <w:pStyle w:val="BodyTextFlush"/>
        <w:spacing w:before="200"/>
        <w:jc w:val="center"/>
        <w:rPr>
          <w:i/>
          <w:sz w:val="20"/>
          <w:szCs w:val="20"/>
        </w:rPr>
      </w:pPr>
      <w:r>
        <w:rPr>
          <w:i/>
          <w:sz w:val="20"/>
          <w:szCs w:val="20"/>
        </w:rPr>
        <w:t>[TO BE INSERTED]</w:t>
      </w:r>
    </w:p>
    <w:p w:rsidR="00E4078C" w:rsidRDefault="009760CB">
      <w:pPr>
        <w:pStyle w:val="Title"/>
        <w:spacing w:before="200"/>
        <w:rPr>
          <w:sz w:val="20"/>
          <w:szCs w:val="20"/>
        </w:rPr>
      </w:pPr>
      <w:r>
        <w:rPr>
          <w:sz w:val="20"/>
          <w:szCs w:val="20"/>
        </w:rPr>
        <w:br w:type="page"/>
      </w:r>
      <w:bookmarkStart w:id="275" w:name="_Toc365549874"/>
      <w:r>
        <w:rPr>
          <w:sz w:val="20"/>
          <w:szCs w:val="20"/>
        </w:rPr>
        <w:lastRenderedPageBreak/>
        <w:t>EXHIBIT “C”</w:t>
      </w:r>
      <w:bookmarkEnd w:id="275"/>
      <w:r>
        <w:rPr>
          <w:sz w:val="20"/>
          <w:szCs w:val="20"/>
        </w:rPr>
        <w:t xml:space="preserve"> </w:t>
      </w:r>
    </w:p>
    <w:p w:rsidR="00E4078C" w:rsidRDefault="009760CB">
      <w:pPr>
        <w:pStyle w:val="Title"/>
        <w:spacing w:before="200"/>
        <w:rPr>
          <w:sz w:val="20"/>
          <w:szCs w:val="20"/>
        </w:rPr>
      </w:pPr>
      <w:bookmarkStart w:id="276" w:name="_Toc365549875"/>
      <w:r>
        <w:rPr>
          <w:sz w:val="20"/>
          <w:szCs w:val="20"/>
        </w:rPr>
        <w:t>DVBE REQUIREMENTS</w:t>
      </w:r>
      <w:bookmarkEnd w:id="276"/>
    </w:p>
    <w:p w:rsidR="003A5418" w:rsidRDefault="009760CB" w:rsidP="003A5418">
      <w:pPr>
        <w:pStyle w:val="Title"/>
      </w:pPr>
      <w:bookmarkStart w:id="277" w:name="_Toc358730935"/>
      <w:bookmarkStart w:id="278" w:name="_Toc437856066"/>
      <w:r w:rsidRPr="000A201D">
        <w:t>DISABLED VETERAN BUSINESS ENT</w:t>
      </w:r>
      <w:r>
        <w:t xml:space="preserve">ERPRISE (DVBE) CONTRACTOR </w:t>
      </w:r>
      <w:r>
        <w:t>CLOSE</w:t>
      </w:r>
      <w:r>
        <w:noBreakHyphen/>
      </w:r>
      <w:r w:rsidRPr="000A201D">
        <w:t>OUT STATEMENT</w:t>
      </w:r>
      <w:bookmarkEnd w:id="277"/>
      <w:bookmarkEnd w:id="278"/>
    </w:p>
    <w:p w:rsidR="003A5418" w:rsidRDefault="009760CB" w:rsidP="003A5418">
      <w:pPr>
        <w:pStyle w:val="BodyTextFirstIndent"/>
        <w:spacing w:after="240"/>
      </w:pPr>
      <w:r w:rsidRPr="000A201D">
        <w:t xml:space="preserve">The Contractor shall complete this form, as a condition to </w:t>
      </w:r>
      <w:r>
        <w:t>F</w:t>
      </w:r>
      <w:r w:rsidRPr="000A201D">
        <w:t xml:space="preserve">inal </w:t>
      </w:r>
      <w:r>
        <w:rPr>
          <w:rFonts w:eastAsia="HiddenHorzOCR" w:cs="HiddenHorzOCR"/>
          <w:szCs w:val="18"/>
        </w:rPr>
        <w:t>P</w:t>
      </w:r>
      <w:r w:rsidRPr="000A201D">
        <w:rPr>
          <w:rFonts w:eastAsia="HiddenHorzOCR" w:cs="HiddenHorzOCR"/>
          <w:szCs w:val="18"/>
        </w:rPr>
        <w:t xml:space="preserve">ayment, </w:t>
      </w:r>
      <w:r w:rsidRPr="000A201D">
        <w:t>for purposes of</w:t>
      </w:r>
      <w:r>
        <w:t xml:space="preserve"> </w:t>
      </w:r>
      <w:r w:rsidRPr="000A201D">
        <w:t xml:space="preserve">reporting participation by Disabled Veteran Business Enterprises </w:t>
      </w:r>
      <w:r>
        <w:t>(</w:t>
      </w:r>
      <w:r w:rsidRPr="000A201D">
        <w:rPr>
          <w:rFonts w:eastAsia="HiddenHorzOCR" w:cs="HiddenHorzOCR"/>
          <w:szCs w:val="18"/>
        </w:rPr>
        <w:t xml:space="preserve">DVBE) </w:t>
      </w:r>
      <w:r w:rsidRPr="000A201D">
        <w:rPr>
          <w:rFonts w:cs="Arial"/>
        </w:rPr>
        <w:t xml:space="preserve">in </w:t>
      </w:r>
      <w:r w:rsidRPr="000A201D">
        <w:t xml:space="preserve">the </w:t>
      </w:r>
      <w:r>
        <w:t>Contract</w:t>
      </w:r>
      <w:r w:rsidRPr="000A201D">
        <w:t xml:space="preserve"> for</w:t>
      </w:r>
      <w:r>
        <w:t xml:space="preserve"> </w:t>
      </w:r>
      <w:r w:rsidRPr="000A201D">
        <w:t>the Project/Bid No. specified below.</w:t>
      </w:r>
    </w:p>
    <w:p w:rsidR="003A5418" w:rsidRPr="00FE47DD" w:rsidRDefault="009760CB" w:rsidP="003A5418">
      <w:pPr>
        <w:pStyle w:val="BodyTextFirstIndent"/>
        <w:spacing w:before="0" w:after="240"/>
        <w:ind w:firstLine="0"/>
      </w:pPr>
      <w:r w:rsidRPr="00601C1E">
        <w:rPr>
          <w:b/>
        </w:rPr>
        <w:t>Project Name</w:t>
      </w:r>
      <w:r w:rsidRPr="000A201D">
        <w:t xml:space="preserve">: </w:t>
      </w:r>
      <w:r>
        <w:t>___</w:t>
      </w:r>
      <w:r>
        <w:t>____________________</w:t>
      </w:r>
    </w:p>
    <w:p w:rsidR="003A5418" w:rsidRDefault="009760CB" w:rsidP="003A5418">
      <w:pPr>
        <w:pStyle w:val="SigLeft"/>
        <w:rPr>
          <w:u w:val="single"/>
        </w:rPr>
      </w:pPr>
      <w:r w:rsidRPr="00601C1E">
        <w:rPr>
          <w:b/>
        </w:rPr>
        <w:t>DSA No.</w:t>
      </w:r>
      <w:r w:rsidRPr="000A201D">
        <w:t xml:space="preserve">: </w:t>
      </w:r>
      <w:r>
        <w:rPr>
          <w:u w:val="single"/>
        </w:rPr>
        <w:tab/>
      </w:r>
      <w:r>
        <w:rPr>
          <w:u w:val="single"/>
        </w:rPr>
        <w:tab/>
      </w:r>
      <w:r>
        <w:rPr>
          <w:u w:val="single"/>
        </w:rPr>
        <w:tab/>
      </w:r>
      <w:r>
        <w:rPr>
          <w:u w:val="single"/>
        </w:rPr>
        <w:tab/>
      </w:r>
      <w:r>
        <w:rPr>
          <w:u w:val="single"/>
        </w:rPr>
        <w:tab/>
      </w:r>
    </w:p>
    <w:tbl>
      <w:tblPr>
        <w:tblStyle w:val="TableGrid"/>
        <w:tblW w:w="0" w:type="auto"/>
        <w:tblLook w:val="04A0" w:firstRow="1" w:lastRow="0" w:firstColumn="1" w:lastColumn="0" w:noHBand="0" w:noVBand="1"/>
      </w:tblPr>
      <w:tblGrid>
        <w:gridCol w:w="2394"/>
        <w:gridCol w:w="2394"/>
        <w:gridCol w:w="2394"/>
        <w:gridCol w:w="2394"/>
      </w:tblGrid>
      <w:tr w:rsidR="00C05B7A" w:rsidTr="00CE145A">
        <w:trPr>
          <w:trHeight w:val="413"/>
        </w:trPr>
        <w:tc>
          <w:tcPr>
            <w:tcW w:w="2394" w:type="dxa"/>
          </w:tcPr>
          <w:p w:rsidR="003A5418" w:rsidRPr="00145FCC" w:rsidRDefault="009760CB" w:rsidP="00CE145A">
            <w:pPr>
              <w:autoSpaceDE w:val="0"/>
              <w:autoSpaceDN w:val="0"/>
              <w:adjustRightInd w:val="0"/>
              <w:spacing w:before="240"/>
              <w:jc w:val="center"/>
            </w:pPr>
            <w:r w:rsidRPr="000A201D">
              <w:t>Name</w:t>
            </w:r>
          </w:p>
        </w:tc>
        <w:tc>
          <w:tcPr>
            <w:tcW w:w="2394" w:type="dxa"/>
          </w:tcPr>
          <w:p w:rsidR="003A5418" w:rsidRPr="00145FCC" w:rsidRDefault="009760CB" w:rsidP="00CE145A">
            <w:pPr>
              <w:autoSpaceDE w:val="0"/>
              <w:autoSpaceDN w:val="0"/>
              <w:adjustRightInd w:val="0"/>
              <w:spacing w:before="240"/>
              <w:jc w:val="center"/>
            </w:pPr>
            <w:r w:rsidRPr="00876688">
              <w:t>Address/P</w:t>
            </w:r>
            <w:r w:rsidRPr="000A201D">
              <w:t>hone</w:t>
            </w:r>
          </w:p>
        </w:tc>
        <w:tc>
          <w:tcPr>
            <w:tcW w:w="2394" w:type="dxa"/>
          </w:tcPr>
          <w:p w:rsidR="003A5418" w:rsidRPr="00145FCC" w:rsidRDefault="009760CB" w:rsidP="00CE145A">
            <w:pPr>
              <w:autoSpaceDE w:val="0"/>
              <w:autoSpaceDN w:val="0"/>
              <w:adjustRightInd w:val="0"/>
              <w:spacing w:before="240"/>
              <w:jc w:val="center"/>
            </w:pPr>
            <w:r w:rsidRPr="00876688">
              <w:t>Category of</w:t>
            </w:r>
            <w:r>
              <w:t xml:space="preserve"> </w:t>
            </w:r>
            <w:r w:rsidRPr="00876688">
              <w:t>W</w:t>
            </w:r>
            <w:r w:rsidRPr="000A201D">
              <w:t>ork*</w:t>
            </w:r>
          </w:p>
        </w:tc>
        <w:tc>
          <w:tcPr>
            <w:tcW w:w="2394" w:type="dxa"/>
          </w:tcPr>
          <w:p w:rsidR="003A5418" w:rsidRPr="00145FCC" w:rsidRDefault="009760CB" w:rsidP="00CE145A">
            <w:pPr>
              <w:autoSpaceDE w:val="0"/>
              <w:autoSpaceDN w:val="0"/>
              <w:adjustRightInd w:val="0"/>
              <w:spacing w:before="240"/>
              <w:jc w:val="center"/>
            </w:pPr>
            <w:r w:rsidRPr="000A201D">
              <w:t>$ Amount of Contract</w:t>
            </w:r>
          </w:p>
        </w:tc>
      </w:tr>
      <w:tr w:rsidR="00C05B7A" w:rsidTr="00CE145A">
        <w:tc>
          <w:tcPr>
            <w:tcW w:w="2394" w:type="dxa"/>
            <w:vAlign w:val="bottom"/>
          </w:tcPr>
          <w:p w:rsidR="003A5418" w:rsidRPr="00876688" w:rsidRDefault="009760CB" w:rsidP="00CE145A">
            <w:pPr>
              <w:autoSpaceDE w:val="0"/>
              <w:autoSpaceDN w:val="0"/>
              <w:adjustRightInd w:val="0"/>
              <w:spacing w:before="240"/>
              <w:rPr>
                <w:caps/>
              </w:rPr>
            </w:pPr>
          </w:p>
        </w:tc>
        <w:tc>
          <w:tcPr>
            <w:tcW w:w="2394" w:type="dxa"/>
            <w:vAlign w:val="bottom"/>
          </w:tcPr>
          <w:p w:rsidR="003A5418" w:rsidRPr="00876688" w:rsidRDefault="009760CB" w:rsidP="00CE145A">
            <w:pPr>
              <w:autoSpaceDE w:val="0"/>
              <w:autoSpaceDN w:val="0"/>
              <w:adjustRightInd w:val="0"/>
              <w:spacing w:before="240"/>
              <w:rPr>
                <w:caps/>
              </w:rPr>
            </w:pPr>
          </w:p>
        </w:tc>
        <w:tc>
          <w:tcPr>
            <w:tcW w:w="2394" w:type="dxa"/>
            <w:vAlign w:val="bottom"/>
          </w:tcPr>
          <w:p w:rsidR="003A5418" w:rsidRPr="00876688" w:rsidRDefault="009760CB" w:rsidP="00CE145A">
            <w:pPr>
              <w:autoSpaceDE w:val="0"/>
              <w:autoSpaceDN w:val="0"/>
              <w:adjustRightInd w:val="0"/>
              <w:spacing w:before="240"/>
              <w:rPr>
                <w:caps/>
              </w:rPr>
            </w:pPr>
          </w:p>
        </w:tc>
        <w:tc>
          <w:tcPr>
            <w:tcW w:w="2394" w:type="dxa"/>
            <w:vAlign w:val="bottom"/>
          </w:tcPr>
          <w:p w:rsidR="003A5418" w:rsidRPr="00876688" w:rsidRDefault="009760CB" w:rsidP="00CE145A">
            <w:pPr>
              <w:autoSpaceDE w:val="0"/>
              <w:autoSpaceDN w:val="0"/>
              <w:adjustRightInd w:val="0"/>
              <w:spacing w:before="240"/>
              <w:rPr>
                <w:caps/>
              </w:rPr>
            </w:pPr>
          </w:p>
        </w:tc>
      </w:tr>
      <w:tr w:rsidR="00C05B7A" w:rsidTr="00CE145A">
        <w:tc>
          <w:tcPr>
            <w:tcW w:w="2394" w:type="dxa"/>
            <w:vAlign w:val="bottom"/>
          </w:tcPr>
          <w:p w:rsidR="003A5418" w:rsidRPr="00876688" w:rsidRDefault="009760CB" w:rsidP="00CE145A">
            <w:pPr>
              <w:autoSpaceDE w:val="0"/>
              <w:autoSpaceDN w:val="0"/>
              <w:adjustRightInd w:val="0"/>
              <w:spacing w:before="240"/>
              <w:rPr>
                <w:caps/>
              </w:rPr>
            </w:pPr>
          </w:p>
        </w:tc>
        <w:tc>
          <w:tcPr>
            <w:tcW w:w="2394" w:type="dxa"/>
            <w:vAlign w:val="bottom"/>
          </w:tcPr>
          <w:p w:rsidR="003A5418" w:rsidRPr="00876688" w:rsidRDefault="009760CB" w:rsidP="00CE145A">
            <w:pPr>
              <w:autoSpaceDE w:val="0"/>
              <w:autoSpaceDN w:val="0"/>
              <w:adjustRightInd w:val="0"/>
              <w:spacing w:before="240"/>
              <w:rPr>
                <w:caps/>
              </w:rPr>
            </w:pPr>
          </w:p>
        </w:tc>
        <w:tc>
          <w:tcPr>
            <w:tcW w:w="2394" w:type="dxa"/>
            <w:vAlign w:val="bottom"/>
          </w:tcPr>
          <w:p w:rsidR="003A5418" w:rsidRPr="00876688" w:rsidRDefault="009760CB" w:rsidP="00CE145A">
            <w:pPr>
              <w:autoSpaceDE w:val="0"/>
              <w:autoSpaceDN w:val="0"/>
              <w:adjustRightInd w:val="0"/>
              <w:spacing w:before="240"/>
              <w:rPr>
                <w:caps/>
              </w:rPr>
            </w:pPr>
          </w:p>
        </w:tc>
        <w:tc>
          <w:tcPr>
            <w:tcW w:w="2394" w:type="dxa"/>
            <w:vAlign w:val="bottom"/>
          </w:tcPr>
          <w:p w:rsidR="003A5418" w:rsidRPr="00876688" w:rsidRDefault="009760CB" w:rsidP="00CE145A">
            <w:pPr>
              <w:autoSpaceDE w:val="0"/>
              <w:autoSpaceDN w:val="0"/>
              <w:adjustRightInd w:val="0"/>
              <w:spacing w:before="240"/>
              <w:rPr>
                <w:caps/>
              </w:rPr>
            </w:pPr>
          </w:p>
        </w:tc>
      </w:tr>
      <w:tr w:rsidR="00C05B7A" w:rsidTr="00CE145A">
        <w:tc>
          <w:tcPr>
            <w:tcW w:w="2394" w:type="dxa"/>
            <w:vAlign w:val="bottom"/>
          </w:tcPr>
          <w:p w:rsidR="003A5418" w:rsidRPr="00876688" w:rsidRDefault="009760CB" w:rsidP="00CE145A">
            <w:pPr>
              <w:autoSpaceDE w:val="0"/>
              <w:autoSpaceDN w:val="0"/>
              <w:adjustRightInd w:val="0"/>
              <w:spacing w:before="240"/>
              <w:rPr>
                <w:caps/>
              </w:rPr>
            </w:pPr>
          </w:p>
        </w:tc>
        <w:tc>
          <w:tcPr>
            <w:tcW w:w="2394" w:type="dxa"/>
            <w:vAlign w:val="bottom"/>
          </w:tcPr>
          <w:p w:rsidR="003A5418" w:rsidRPr="00876688" w:rsidRDefault="009760CB" w:rsidP="00CE145A">
            <w:pPr>
              <w:autoSpaceDE w:val="0"/>
              <w:autoSpaceDN w:val="0"/>
              <w:adjustRightInd w:val="0"/>
              <w:spacing w:before="240"/>
              <w:rPr>
                <w:caps/>
              </w:rPr>
            </w:pPr>
          </w:p>
        </w:tc>
        <w:tc>
          <w:tcPr>
            <w:tcW w:w="2394" w:type="dxa"/>
            <w:vAlign w:val="bottom"/>
          </w:tcPr>
          <w:p w:rsidR="003A5418" w:rsidRPr="00876688" w:rsidRDefault="009760CB" w:rsidP="00CE145A">
            <w:pPr>
              <w:autoSpaceDE w:val="0"/>
              <w:autoSpaceDN w:val="0"/>
              <w:adjustRightInd w:val="0"/>
              <w:spacing w:before="240"/>
              <w:rPr>
                <w:caps/>
              </w:rPr>
            </w:pPr>
          </w:p>
        </w:tc>
        <w:tc>
          <w:tcPr>
            <w:tcW w:w="2394" w:type="dxa"/>
            <w:vAlign w:val="bottom"/>
          </w:tcPr>
          <w:p w:rsidR="003A5418" w:rsidRPr="00876688" w:rsidRDefault="009760CB" w:rsidP="00CE145A">
            <w:pPr>
              <w:autoSpaceDE w:val="0"/>
              <w:autoSpaceDN w:val="0"/>
              <w:adjustRightInd w:val="0"/>
              <w:spacing w:before="240"/>
              <w:rPr>
                <w:caps/>
              </w:rPr>
            </w:pPr>
          </w:p>
        </w:tc>
      </w:tr>
      <w:tr w:rsidR="00C05B7A" w:rsidTr="00CE145A">
        <w:tc>
          <w:tcPr>
            <w:tcW w:w="2394" w:type="dxa"/>
            <w:vAlign w:val="bottom"/>
          </w:tcPr>
          <w:p w:rsidR="003A5418" w:rsidRPr="00876688" w:rsidRDefault="009760CB" w:rsidP="00CE145A">
            <w:pPr>
              <w:autoSpaceDE w:val="0"/>
              <w:autoSpaceDN w:val="0"/>
              <w:adjustRightInd w:val="0"/>
              <w:spacing w:before="240"/>
              <w:rPr>
                <w:caps/>
              </w:rPr>
            </w:pPr>
          </w:p>
        </w:tc>
        <w:tc>
          <w:tcPr>
            <w:tcW w:w="2394" w:type="dxa"/>
            <w:vAlign w:val="bottom"/>
          </w:tcPr>
          <w:p w:rsidR="003A5418" w:rsidRPr="00876688" w:rsidRDefault="009760CB" w:rsidP="00CE145A">
            <w:pPr>
              <w:autoSpaceDE w:val="0"/>
              <w:autoSpaceDN w:val="0"/>
              <w:adjustRightInd w:val="0"/>
              <w:spacing w:before="240"/>
              <w:rPr>
                <w:caps/>
              </w:rPr>
            </w:pPr>
          </w:p>
        </w:tc>
        <w:tc>
          <w:tcPr>
            <w:tcW w:w="2394" w:type="dxa"/>
            <w:vAlign w:val="bottom"/>
          </w:tcPr>
          <w:p w:rsidR="003A5418" w:rsidRPr="00876688" w:rsidRDefault="009760CB" w:rsidP="00CE145A">
            <w:pPr>
              <w:autoSpaceDE w:val="0"/>
              <w:autoSpaceDN w:val="0"/>
              <w:adjustRightInd w:val="0"/>
              <w:spacing w:before="240"/>
              <w:rPr>
                <w:caps/>
              </w:rPr>
            </w:pPr>
          </w:p>
        </w:tc>
        <w:tc>
          <w:tcPr>
            <w:tcW w:w="2394" w:type="dxa"/>
            <w:vAlign w:val="bottom"/>
          </w:tcPr>
          <w:p w:rsidR="003A5418" w:rsidRPr="00876688" w:rsidRDefault="009760CB" w:rsidP="00CE145A">
            <w:pPr>
              <w:autoSpaceDE w:val="0"/>
              <w:autoSpaceDN w:val="0"/>
              <w:adjustRightInd w:val="0"/>
              <w:spacing w:before="240"/>
              <w:rPr>
                <w:caps/>
              </w:rPr>
            </w:pPr>
          </w:p>
        </w:tc>
      </w:tr>
      <w:tr w:rsidR="00C05B7A" w:rsidTr="00CE145A">
        <w:tc>
          <w:tcPr>
            <w:tcW w:w="2394" w:type="dxa"/>
            <w:vAlign w:val="bottom"/>
          </w:tcPr>
          <w:p w:rsidR="003A5418" w:rsidRPr="00876688" w:rsidRDefault="009760CB" w:rsidP="00CE145A">
            <w:pPr>
              <w:autoSpaceDE w:val="0"/>
              <w:autoSpaceDN w:val="0"/>
              <w:adjustRightInd w:val="0"/>
              <w:spacing w:before="240"/>
              <w:rPr>
                <w:caps/>
              </w:rPr>
            </w:pPr>
          </w:p>
        </w:tc>
        <w:tc>
          <w:tcPr>
            <w:tcW w:w="2394" w:type="dxa"/>
            <w:vAlign w:val="bottom"/>
          </w:tcPr>
          <w:p w:rsidR="003A5418" w:rsidRPr="00876688" w:rsidRDefault="009760CB" w:rsidP="00CE145A">
            <w:pPr>
              <w:autoSpaceDE w:val="0"/>
              <w:autoSpaceDN w:val="0"/>
              <w:adjustRightInd w:val="0"/>
              <w:spacing w:before="240"/>
              <w:rPr>
                <w:caps/>
              </w:rPr>
            </w:pPr>
          </w:p>
        </w:tc>
        <w:tc>
          <w:tcPr>
            <w:tcW w:w="2394" w:type="dxa"/>
            <w:vAlign w:val="bottom"/>
          </w:tcPr>
          <w:p w:rsidR="003A5418" w:rsidRPr="00876688" w:rsidRDefault="009760CB" w:rsidP="00CE145A">
            <w:pPr>
              <w:autoSpaceDE w:val="0"/>
              <w:autoSpaceDN w:val="0"/>
              <w:adjustRightInd w:val="0"/>
              <w:spacing w:before="240"/>
              <w:rPr>
                <w:caps/>
              </w:rPr>
            </w:pPr>
          </w:p>
        </w:tc>
        <w:tc>
          <w:tcPr>
            <w:tcW w:w="2394" w:type="dxa"/>
            <w:vAlign w:val="bottom"/>
          </w:tcPr>
          <w:p w:rsidR="003A5418" w:rsidRPr="00876688" w:rsidRDefault="009760CB" w:rsidP="00CE145A">
            <w:pPr>
              <w:autoSpaceDE w:val="0"/>
              <w:autoSpaceDN w:val="0"/>
              <w:adjustRightInd w:val="0"/>
              <w:spacing w:before="240"/>
              <w:rPr>
                <w:caps/>
              </w:rPr>
            </w:pPr>
          </w:p>
        </w:tc>
      </w:tr>
    </w:tbl>
    <w:p w:rsidR="003A5418" w:rsidRPr="00145FCC" w:rsidRDefault="009760CB" w:rsidP="003A5418">
      <w:pPr>
        <w:pStyle w:val="BodyTextFlush"/>
      </w:pPr>
      <w:r w:rsidRPr="000A201D">
        <w:rPr>
          <w:rFonts w:cs="Arial"/>
          <w:szCs w:val="31"/>
        </w:rPr>
        <w:t xml:space="preserve">* </w:t>
      </w:r>
      <w:r w:rsidRPr="000A201D">
        <w:t>Categories of work include: (1) construction services (specify services that DVBE will</w:t>
      </w:r>
      <w:r>
        <w:t xml:space="preserve"> </w:t>
      </w:r>
      <w:r w:rsidRPr="000A201D">
        <w:t xml:space="preserve">provide); </w:t>
      </w:r>
      <w:r w:rsidRPr="00876688">
        <w:t xml:space="preserve">(2) </w:t>
      </w:r>
      <w:r w:rsidRPr="000A201D">
        <w:t xml:space="preserve">architecture and engineering services; </w:t>
      </w:r>
      <w:r w:rsidRPr="00876688">
        <w:t xml:space="preserve">(3) </w:t>
      </w:r>
      <w:r w:rsidRPr="000A201D">
        <w:t>procurement of materials, supplies and equipment; and (4) information technology.</w:t>
      </w:r>
    </w:p>
    <w:p w:rsidR="003A5418" w:rsidRDefault="009760CB" w:rsidP="003A5418">
      <w:pPr>
        <w:pStyle w:val="BodyTextFlush"/>
        <w:spacing w:after="240"/>
      </w:pPr>
      <w:r w:rsidRPr="000A201D">
        <w:t xml:space="preserve">The undersigned, on behalf of the Contractor, certifies that DVBE participation on the </w:t>
      </w:r>
      <w:r>
        <w:t>Contract</w:t>
      </w:r>
      <w:r w:rsidRPr="000A201D">
        <w:t xml:space="preserve"> for Bid No. ______________equaled ___________ dollars </w:t>
      </w:r>
      <w:r>
        <w:t>($___________</w:t>
      </w:r>
      <w:r w:rsidRPr="00876688">
        <w:t xml:space="preserve">), </w:t>
      </w:r>
      <w:r w:rsidRPr="000A201D">
        <w:t>which</w:t>
      </w:r>
      <w:r>
        <w:t xml:space="preserve"> </w:t>
      </w:r>
      <w:r w:rsidRPr="000A201D">
        <w:t xml:space="preserve">represents approximately ____ percent </w:t>
      </w:r>
      <w:r w:rsidRPr="000A201D">
        <w:rPr>
          <w:rFonts w:eastAsia="HiddenHorzOCR" w:cs="HiddenHorzOCR"/>
          <w:szCs w:val="18"/>
        </w:rPr>
        <w:t>(___</w:t>
      </w:r>
      <w:r w:rsidRPr="00876688">
        <w:t xml:space="preserve">%) </w:t>
      </w:r>
      <w:r w:rsidRPr="000A201D">
        <w:t xml:space="preserve">of the total </w:t>
      </w:r>
      <w:r>
        <w:t>Contract</w:t>
      </w:r>
      <w:r w:rsidRPr="000A201D">
        <w:t xml:space="preserve"> price including change orders for the Project.</w:t>
      </w:r>
    </w:p>
    <w:p w:rsidR="003A5418" w:rsidRPr="00FE47DD" w:rsidRDefault="009760CB" w:rsidP="003A5418">
      <w:pPr>
        <w:pStyle w:val="BodyTextFlush"/>
        <w:spacing w:before="0" w:after="240"/>
      </w:pPr>
      <w:r w:rsidRPr="000A201D">
        <w:t xml:space="preserve">Company: </w:t>
      </w:r>
      <w:r>
        <w:rPr>
          <w:u w:val="single"/>
        </w:rPr>
        <w:tab/>
      </w:r>
      <w:r>
        <w:rPr>
          <w:u w:val="single"/>
        </w:rPr>
        <w:tab/>
      </w:r>
      <w:r>
        <w:rPr>
          <w:u w:val="single"/>
        </w:rPr>
        <w:tab/>
      </w:r>
      <w:r>
        <w:rPr>
          <w:u w:val="single"/>
        </w:rPr>
        <w:tab/>
      </w:r>
      <w:r>
        <w:rPr>
          <w:u w:val="single"/>
        </w:rPr>
        <w:tab/>
      </w:r>
      <w:r>
        <w:rPr>
          <w:u w:val="single"/>
        </w:rPr>
        <w:tab/>
      </w:r>
    </w:p>
    <w:p w:rsidR="003A5418" w:rsidRPr="00DC44E7" w:rsidRDefault="009760CB" w:rsidP="003A5418">
      <w:pPr>
        <w:pStyle w:val="SigLeft"/>
        <w:keepNext w:val="0"/>
        <w:rPr>
          <w:u w:val="single"/>
        </w:rPr>
      </w:pPr>
      <w:r w:rsidRPr="000A201D">
        <w:t>Name:</w:t>
      </w:r>
      <w:r>
        <w:rPr>
          <w:u w:val="single"/>
        </w:rPr>
        <w:tab/>
      </w:r>
      <w:r>
        <w:rPr>
          <w:u w:val="single"/>
        </w:rPr>
        <w:tab/>
      </w:r>
      <w:r>
        <w:rPr>
          <w:u w:val="single"/>
        </w:rPr>
        <w:tab/>
      </w:r>
      <w:r>
        <w:rPr>
          <w:u w:val="single"/>
        </w:rPr>
        <w:tab/>
      </w:r>
      <w:r>
        <w:rPr>
          <w:u w:val="single"/>
        </w:rPr>
        <w:tab/>
      </w:r>
      <w:r>
        <w:rPr>
          <w:u w:val="single"/>
        </w:rPr>
        <w:tab/>
      </w:r>
      <w:r>
        <w:rPr>
          <w:u w:val="single"/>
        </w:rPr>
        <w:tab/>
      </w:r>
    </w:p>
    <w:p w:rsidR="003A5418" w:rsidRPr="00DA79BD" w:rsidRDefault="009760CB" w:rsidP="003A5418">
      <w:pPr>
        <w:pStyle w:val="SigLeft"/>
        <w:keepNext w:val="0"/>
      </w:pPr>
      <w:r w:rsidRPr="000A201D">
        <w:t xml:space="preserve">Title: </w:t>
      </w:r>
      <w:r w:rsidRPr="001C4C4C">
        <w:rPr>
          <w:u w:val="single"/>
        </w:rPr>
        <w:tab/>
      </w:r>
      <w:r>
        <w:rPr>
          <w:u w:val="single"/>
        </w:rPr>
        <w:tab/>
      </w:r>
      <w:r>
        <w:rPr>
          <w:u w:val="single"/>
        </w:rPr>
        <w:tab/>
      </w:r>
      <w:r>
        <w:rPr>
          <w:u w:val="single"/>
        </w:rPr>
        <w:tab/>
      </w:r>
      <w:r>
        <w:rPr>
          <w:u w:val="single"/>
        </w:rPr>
        <w:tab/>
      </w:r>
      <w:r>
        <w:rPr>
          <w:u w:val="single"/>
        </w:rPr>
        <w:tab/>
      </w:r>
      <w:r>
        <w:rPr>
          <w:u w:val="single"/>
        </w:rPr>
        <w:tab/>
      </w:r>
    </w:p>
    <w:p w:rsidR="003A5418" w:rsidRPr="00DA79BD" w:rsidRDefault="009760CB" w:rsidP="003A5418">
      <w:pPr>
        <w:pStyle w:val="SigLeft"/>
        <w:keepNext w:val="0"/>
      </w:pPr>
      <w:r w:rsidRPr="000A201D">
        <w:t xml:space="preserve">Signature:  </w:t>
      </w:r>
      <w:r w:rsidRPr="001C4C4C">
        <w:rPr>
          <w:u w:val="single"/>
        </w:rPr>
        <w:tab/>
      </w:r>
      <w:r>
        <w:rPr>
          <w:u w:val="single"/>
        </w:rPr>
        <w:tab/>
      </w:r>
      <w:r>
        <w:rPr>
          <w:u w:val="single"/>
        </w:rPr>
        <w:tab/>
      </w:r>
      <w:r>
        <w:rPr>
          <w:u w:val="single"/>
        </w:rPr>
        <w:tab/>
      </w:r>
      <w:r>
        <w:rPr>
          <w:u w:val="single"/>
        </w:rPr>
        <w:tab/>
      </w:r>
      <w:r>
        <w:rPr>
          <w:u w:val="single"/>
        </w:rPr>
        <w:tab/>
      </w:r>
    </w:p>
    <w:p w:rsidR="003A5418" w:rsidRPr="003736C3" w:rsidRDefault="009760CB" w:rsidP="003A5418">
      <w:pPr>
        <w:pStyle w:val="SigLeft"/>
        <w:keepNext w:val="0"/>
        <w:rPr>
          <w:u w:val="single"/>
        </w:rPr>
      </w:pPr>
      <w:r w:rsidRPr="000A201D">
        <w:t>Da</w:t>
      </w:r>
      <w:r w:rsidRPr="000A201D">
        <w:t xml:space="preserve">te: </w:t>
      </w:r>
      <w:r>
        <w:rPr>
          <w:u w:val="single"/>
        </w:rPr>
        <w:tab/>
      </w:r>
      <w:r>
        <w:rPr>
          <w:u w:val="single"/>
        </w:rPr>
        <w:tab/>
      </w:r>
      <w:r>
        <w:rPr>
          <w:u w:val="single"/>
        </w:rPr>
        <w:tab/>
      </w:r>
      <w:r>
        <w:rPr>
          <w:u w:val="single"/>
        </w:rPr>
        <w:tab/>
      </w:r>
      <w:r>
        <w:rPr>
          <w:u w:val="single"/>
        </w:rPr>
        <w:tab/>
      </w:r>
      <w:r>
        <w:rPr>
          <w:u w:val="single"/>
        </w:rPr>
        <w:tab/>
      </w:r>
      <w:r>
        <w:rPr>
          <w:u w:val="single"/>
        </w:rPr>
        <w:tab/>
      </w:r>
    </w:p>
    <w:p w:rsidR="00A90DB7" w:rsidRPr="007A2867" w:rsidRDefault="009760CB" w:rsidP="007A2867">
      <w:pPr>
        <w:pStyle w:val="BodyTextFlush"/>
      </w:pPr>
    </w:p>
    <w:p w:rsidR="00E4078C" w:rsidRDefault="009760CB">
      <w:pPr>
        <w:pStyle w:val="Title"/>
        <w:spacing w:before="200"/>
        <w:rPr>
          <w:sz w:val="20"/>
          <w:szCs w:val="20"/>
        </w:rPr>
      </w:pPr>
      <w:r>
        <w:rPr>
          <w:sz w:val="20"/>
          <w:szCs w:val="20"/>
        </w:rPr>
        <w:br w:type="page"/>
      </w:r>
      <w:bookmarkStart w:id="279" w:name="_Toc365549876"/>
      <w:r>
        <w:rPr>
          <w:sz w:val="20"/>
          <w:szCs w:val="20"/>
        </w:rPr>
        <w:lastRenderedPageBreak/>
        <w:t>EXHIBIT “D”</w:t>
      </w:r>
      <w:r>
        <w:rPr>
          <w:sz w:val="20"/>
          <w:szCs w:val="20"/>
        </w:rPr>
        <w:br/>
        <w:t>PAYMENT BOND</w:t>
      </w:r>
      <w:r>
        <w:rPr>
          <w:sz w:val="20"/>
          <w:szCs w:val="20"/>
        </w:rPr>
        <w:br/>
        <w:t>(CALIFORNIA PUBLIC WORK)</w:t>
      </w:r>
      <w:bookmarkEnd w:id="279"/>
    </w:p>
    <w:p w:rsidR="00E4078C" w:rsidRDefault="009760CB">
      <w:pPr>
        <w:pStyle w:val="BodyTextFirstIndent"/>
        <w:rPr>
          <w:sz w:val="20"/>
          <w:szCs w:val="20"/>
        </w:rPr>
      </w:pPr>
      <w:r>
        <w:rPr>
          <w:sz w:val="20"/>
          <w:szCs w:val="20"/>
        </w:rPr>
        <w:t>KNOW ALL MEN BY THESE PRESENTS:</w:t>
      </w:r>
    </w:p>
    <w:p w:rsidR="00E4078C" w:rsidRDefault="009760CB">
      <w:pPr>
        <w:pStyle w:val="BodyTextFirstIndent"/>
        <w:rPr>
          <w:sz w:val="20"/>
          <w:szCs w:val="20"/>
        </w:rPr>
      </w:pPr>
      <w:r>
        <w:rPr>
          <w:sz w:val="20"/>
          <w:szCs w:val="20"/>
        </w:rPr>
        <w:t xml:space="preserve">THAT WHEREAS, the </w:t>
      </w:r>
      <w:r>
        <w:rPr>
          <w:sz w:val="20"/>
          <w:szCs w:val="20"/>
        </w:rPr>
        <w:t xml:space="preserve">WOODLAND JOINT UNIFIED </w:t>
      </w:r>
      <w:r>
        <w:rPr>
          <w:sz w:val="20"/>
          <w:szCs w:val="20"/>
        </w:rPr>
        <w:t xml:space="preserve">SCHOOL DISTRICT (sometimes referred to hereinafter as “Obligee”) has awarded to __________________________________ (hereinafter designated as the “Principal” or “Contractor”), an agreement for the work described as follows: </w:t>
      </w:r>
      <w:r>
        <w:rPr>
          <w:sz w:val="20"/>
          <w:szCs w:val="20"/>
        </w:rPr>
        <w:t>Woodland High School HVAC Replac</w:t>
      </w:r>
      <w:r>
        <w:rPr>
          <w:sz w:val="20"/>
          <w:szCs w:val="20"/>
        </w:rPr>
        <w:t xml:space="preserve">ement Project </w:t>
      </w:r>
      <w:r>
        <w:rPr>
          <w:sz w:val="20"/>
          <w:szCs w:val="20"/>
        </w:rPr>
        <w:t>(hereinafter referred to as the “Public Work”); and</w:t>
      </w:r>
    </w:p>
    <w:p w:rsidR="00E4078C" w:rsidRDefault="009760CB">
      <w:pPr>
        <w:pStyle w:val="BodyTextFirstIndent"/>
        <w:rPr>
          <w:sz w:val="20"/>
          <w:szCs w:val="20"/>
        </w:rPr>
      </w:pPr>
      <w:r>
        <w:rPr>
          <w:sz w:val="20"/>
          <w:szCs w:val="20"/>
        </w:rPr>
        <w:t xml:space="preserve">WHEREAS, said Contractor is required to furnish a bond in connection with said Contract, and pursuant to California Civil Code </w:t>
      </w:r>
      <w:r>
        <w:rPr>
          <w:sz w:val="20"/>
          <w:szCs w:val="20"/>
        </w:rPr>
        <w:t>section</w:t>
      </w:r>
      <w:r>
        <w:rPr>
          <w:sz w:val="20"/>
          <w:szCs w:val="20"/>
        </w:rPr>
        <w:t xml:space="preserve"> 9550;</w:t>
      </w:r>
    </w:p>
    <w:p w:rsidR="00E4078C" w:rsidRDefault="009760CB">
      <w:pPr>
        <w:pStyle w:val="BodyTextFirstIndent"/>
        <w:rPr>
          <w:sz w:val="20"/>
          <w:szCs w:val="20"/>
        </w:rPr>
      </w:pPr>
      <w:r>
        <w:rPr>
          <w:sz w:val="20"/>
          <w:szCs w:val="20"/>
        </w:rPr>
        <w:t>NOW, THEREFORE, We, _____________________________</w:t>
      </w:r>
      <w:r>
        <w:rPr>
          <w:sz w:val="20"/>
          <w:szCs w:val="20"/>
        </w:rPr>
        <w:t>__________, the undersigned Contractor, as Principal; and ________________________________, a corporation organized and existing under the laws of the State of ________________, and duly authorized to transact business under the laws of the State of Califo</w:t>
      </w:r>
      <w:r>
        <w:rPr>
          <w:sz w:val="20"/>
          <w:szCs w:val="20"/>
        </w:rPr>
        <w:t xml:space="preserve">rnia, as Surety, are held and firmly bound unto the </w:t>
      </w:r>
      <w:r>
        <w:rPr>
          <w:sz w:val="20"/>
          <w:szCs w:val="20"/>
        </w:rPr>
        <w:t>WOODLAND JOINT UNIFIED</w:t>
      </w:r>
      <w:r>
        <w:rPr>
          <w:sz w:val="20"/>
          <w:szCs w:val="20"/>
        </w:rPr>
        <w:t xml:space="preserve"> SCHOOL DISTRICT and to any and all persons, companies, or corporations entitled by law to file stop notices under California Civil Code </w:t>
      </w:r>
      <w:r>
        <w:rPr>
          <w:sz w:val="20"/>
          <w:szCs w:val="20"/>
        </w:rPr>
        <w:t>section</w:t>
      </w:r>
      <w:r>
        <w:rPr>
          <w:sz w:val="20"/>
          <w:szCs w:val="20"/>
        </w:rPr>
        <w:t xml:space="preserve"> 9100, or any person, company, or corp</w:t>
      </w:r>
      <w:r>
        <w:rPr>
          <w:sz w:val="20"/>
          <w:szCs w:val="20"/>
        </w:rPr>
        <w:t>oration entitled to make a claim on this bond, in the sum of ______________________________________ Dollars ($__________________), such sum being not less than one hundred percent (100%) of the total amount payable by said Obligee under the terms of said C</w:t>
      </w:r>
      <w:r>
        <w:rPr>
          <w:sz w:val="20"/>
          <w:szCs w:val="20"/>
        </w:rPr>
        <w:t>ontract, for which payment will and truly to be made, we bind ourselves, our heirs, executors and administrators, successors and assigns, jointly and severally, firmly by these presents.</w:t>
      </w:r>
    </w:p>
    <w:p w:rsidR="00E4078C" w:rsidRDefault="009760CB">
      <w:pPr>
        <w:pStyle w:val="BodyTextFirstIndent"/>
        <w:rPr>
          <w:sz w:val="20"/>
          <w:szCs w:val="20"/>
        </w:rPr>
      </w:pPr>
      <w:r>
        <w:rPr>
          <w:sz w:val="20"/>
          <w:szCs w:val="20"/>
        </w:rPr>
        <w:t xml:space="preserve">THE CONDITION OF THIS OBLIGATION IS SUCH that if said Principal, its </w:t>
      </w:r>
      <w:r>
        <w:rPr>
          <w:sz w:val="20"/>
          <w:szCs w:val="20"/>
        </w:rPr>
        <w:t xml:space="preserve">heirs, executors, administrators, successors, or assigns, or subcontractor, shall fail to pay any person or persons named in Civil Code </w:t>
      </w:r>
      <w:r>
        <w:rPr>
          <w:sz w:val="20"/>
          <w:szCs w:val="20"/>
        </w:rPr>
        <w:t>section</w:t>
      </w:r>
      <w:r>
        <w:rPr>
          <w:sz w:val="20"/>
          <w:szCs w:val="20"/>
        </w:rPr>
        <w:t xml:space="preserve"> 9100; or fail to pay for any materials, provisions, or other supplies, used in, upon, for, or about the performa</w:t>
      </w:r>
      <w:r>
        <w:rPr>
          <w:sz w:val="20"/>
          <w:szCs w:val="20"/>
        </w:rPr>
        <w:t>nce of the work contracted to be done, or for any work or labor thereon of any kind, or for amounts due under the Unemployment Insurance Code, with respect to work or labor thereon of any kind; or shall fail to deduct, withhold, and pay over to the Employm</w:t>
      </w:r>
      <w:r>
        <w:rPr>
          <w:sz w:val="20"/>
          <w:szCs w:val="20"/>
        </w:rPr>
        <w:t xml:space="preserve">ent Development Department, any amounts required to be deducted, withheld, and paid over by Unemployment Insurance Code </w:t>
      </w:r>
      <w:r>
        <w:rPr>
          <w:sz w:val="20"/>
          <w:szCs w:val="20"/>
        </w:rPr>
        <w:t>section</w:t>
      </w:r>
      <w:r>
        <w:rPr>
          <w:sz w:val="20"/>
          <w:szCs w:val="20"/>
        </w:rPr>
        <w:t xml:space="preserve"> 13020 with respect to work and labor thereon of any kind, then said Surety will pay for the same, in an amount not exceeding the</w:t>
      </w:r>
      <w:r>
        <w:rPr>
          <w:sz w:val="20"/>
          <w:szCs w:val="20"/>
        </w:rPr>
        <w:t xml:space="preserve"> amount herein above set forth, and in the event suit is brought upon this bond, also will pay such reasonable attorneys’ fees as shall be fixed by the court, awarded and taxed as provided in California Civil Code </w:t>
      </w:r>
      <w:r>
        <w:rPr>
          <w:sz w:val="20"/>
          <w:szCs w:val="20"/>
        </w:rPr>
        <w:t>section</w:t>
      </w:r>
      <w:r>
        <w:rPr>
          <w:sz w:val="20"/>
          <w:szCs w:val="20"/>
        </w:rPr>
        <w:t xml:space="preserve"> 9550 et seq.</w:t>
      </w:r>
    </w:p>
    <w:p w:rsidR="00E4078C" w:rsidRDefault="009760CB">
      <w:pPr>
        <w:pStyle w:val="BodyTextFirstIndent"/>
        <w:rPr>
          <w:sz w:val="20"/>
          <w:szCs w:val="20"/>
        </w:rPr>
      </w:pPr>
      <w:r>
        <w:rPr>
          <w:sz w:val="20"/>
          <w:szCs w:val="20"/>
        </w:rPr>
        <w:t>This bond shall inure</w:t>
      </w:r>
      <w:r>
        <w:rPr>
          <w:sz w:val="20"/>
          <w:szCs w:val="20"/>
        </w:rPr>
        <w:t xml:space="preserve"> to the benefit of any person named in Civil Code </w:t>
      </w:r>
      <w:r>
        <w:rPr>
          <w:sz w:val="20"/>
          <w:szCs w:val="20"/>
        </w:rPr>
        <w:t>section</w:t>
      </w:r>
      <w:r>
        <w:rPr>
          <w:sz w:val="20"/>
          <w:szCs w:val="20"/>
        </w:rPr>
        <w:t xml:space="preserve"> 9100 giving such person or his/her assigns a right of action in any suit brought upon this bond.</w:t>
      </w:r>
    </w:p>
    <w:p w:rsidR="00E4078C" w:rsidRDefault="009760CB">
      <w:pPr>
        <w:pStyle w:val="BodyTextFirstIndent"/>
        <w:rPr>
          <w:sz w:val="20"/>
          <w:szCs w:val="20"/>
        </w:rPr>
      </w:pPr>
      <w:r>
        <w:rPr>
          <w:sz w:val="20"/>
          <w:szCs w:val="20"/>
        </w:rPr>
        <w:t xml:space="preserve">It is further stipulated and agreed that the Surety of this bond shall not be exonerated or released </w:t>
      </w:r>
      <w:r>
        <w:rPr>
          <w:sz w:val="20"/>
          <w:szCs w:val="20"/>
        </w:rPr>
        <w:t>from the obligation of the bond by any change, extension of time for performance, addition, alteration or modificati</w:t>
      </w:r>
      <w:r>
        <w:rPr>
          <w:sz w:val="20"/>
          <w:szCs w:val="20"/>
        </w:rPr>
        <w:t>on in, to, or of any contract, p</w:t>
      </w:r>
      <w:r>
        <w:rPr>
          <w:sz w:val="20"/>
          <w:szCs w:val="20"/>
        </w:rPr>
        <w:t>lans, or specifications, or agreement pertaining or relating to any scheme or work of improvement herein abo</w:t>
      </w:r>
      <w:r>
        <w:rPr>
          <w:sz w:val="20"/>
          <w:szCs w:val="20"/>
        </w:rPr>
        <w:t>ve described</w:t>
      </w:r>
      <w:r>
        <w:rPr>
          <w:sz w:val="20"/>
          <w:szCs w:val="20"/>
        </w:rPr>
        <w:t xml:space="preserve">, </w:t>
      </w:r>
      <w:r>
        <w:rPr>
          <w:sz w:val="20"/>
          <w:szCs w:val="20"/>
        </w:rPr>
        <w:t>or pertaining or relating to the furnishing of labor, materials, or equipment therefor; nor by any change or modification of any terms of payment or extension of time for payment pertaining or relating to any scheme or work of improvement her</w:t>
      </w:r>
      <w:r>
        <w:rPr>
          <w:sz w:val="20"/>
          <w:szCs w:val="20"/>
        </w:rPr>
        <w:t xml:space="preserve">ein above described; nor by any rescission or attempted rescission of the contract, agreement or bond; nor by any conditions precedent or subsequent in the bond attempting to limit the right of recovery of claimants otherwise entitled to recover under any </w:t>
      </w:r>
      <w:r>
        <w:rPr>
          <w:sz w:val="20"/>
          <w:szCs w:val="20"/>
        </w:rPr>
        <w:t>such contract or agreement or under the bond; nor by any fraud practiced by any person other than the claimant seeking to recover on the bond; and that this bond be construed most strongly against the Surety and in favor of all persons for whose benefit su</w:t>
      </w:r>
      <w:r>
        <w:rPr>
          <w:sz w:val="20"/>
          <w:szCs w:val="20"/>
        </w:rPr>
        <w:t xml:space="preserve">ch bond is given; and under no circumstances shall the Surety be released from liability to those for whose benefit such bond has been given, by reason of any breach of contract between the Obligee and the Contractor or on the part of any obligee named in </w:t>
      </w:r>
      <w:r>
        <w:rPr>
          <w:sz w:val="20"/>
          <w:szCs w:val="20"/>
        </w:rPr>
        <w:t xml:space="preserve">such bond; that the sole condition of recovery shall be that the claimant is a person described in California Civil Code </w:t>
      </w:r>
      <w:r>
        <w:rPr>
          <w:sz w:val="20"/>
          <w:szCs w:val="20"/>
        </w:rPr>
        <w:t>section</w:t>
      </w:r>
      <w:r>
        <w:rPr>
          <w:sz w:val="20"/>
          <w:szCs w:val="20"/>
        </w:rPr>
        <w:t xml:space="preserve"> 9100, and who has not been paid the full amount of his or her claim; and that the Surety does hereby waive notice of any such c</w:t>
      </w:r>
      <w:r>
        <w:rPr>
          <w:sz w:val="20"/>
          <w:szCs w:val="20"/>
        </w:rPr>
        <w:t>hange, extension of time, addition, alteration or modification herein mentioned.</w:t>
      </w:r>
    </w:p>
    <w:p w:rsidR="00E4078C" w:rsidRDefault="009760CB">
      <w:pPr>
        <w:pStyle w:val="BodyTextFirstIndent"/>
        <w:rPr>
          <w:sz w:val="20"/>
          <w:szCs w:val="20"/>
        </w:rPr>
      </w:pPr>
    </w:p>
    <w:p w:rsidR="00E4078C" w:rsidRDefault="009760CB">
      <w:pPr>
        <w:pStyle w:val="BodyTextFirstIndent"/>
        <w:rPr>
          <w:sz w:val="20"/>
          <w:szCs w:val="20"/>
        </w:rPr>
      </w:pPr>
      <w:r>
        <w:rPr>
          <w:sz w:val="20"/>
          <w:szCs w:val="20"/>
        </w:rPr>
        <w:t>IN WITNESS WHEREOF this instrument has been duly executed by the Principal and Surety above named, on the___________ day of ___________________, 20___.</w:t>
      </w:r>
    </w:p>
    <w:p w:rsidR="00E4078C" w:rsidRDefault="009760CB">
      <w:pPr>
        <w:pStyle w:val="BodyTextFirstIndent"/>
        <w:rPr>
          <w:sz w:val="20"/>
          <w:szCs w:val="20"/>
        </w:rPr>
      </w:pPr>
    </w:p>
    <w:p w:rsidR="00E4078C" w:rsidRDefault="009760CB">
      <w:pPr>
        <w:pStyle w:val="Signature"/>
        <w:tabs>
          <w:tab w:val="right" w:pos="9360"/>
        </w:tabs>
        <w:spacing w:before="100" w:beforeAutospacing="1" w:after="100" w:afterAutospacing="1"/>
        <w:ind w:left="4320"/>
        <w:rPr>
          <w:sz w:val="20"/>
          <w:szCs w:val="20"/>
        </w:rPr>
      </w:pPr>
      <w:r>
        <w:rPr>
          <w:sz w:val="20"/>
          <w:szCs w:val="20"/>
        </w:rPr>
        <w:t>PRINCIPAL/CONTRACTOR:</w:t>
      </w:r>
      <w:r>
        <w:rPr>
          <w:sz w:val="20"/>
          <w:szCs w:val="20"/>
        </w:rPr>
        <w:br/>
      </w:r>
      <w:r>
        <w:rPr>
          <w:sz w:val="20"/>
          <w:szCs w:val="20"/>
        </w:rPr>
        <w:br/>
      </w:r>
      <w:r>
        <w:rPr>
          <w:sz w:val="20"/>
          <w:szCs w:val="20"/>
          <w:u w:val="single"/>
        </w:rPr>
        <w:tab/>
      </w:r>
    </w:p>
    <w:p w:rsidR="00E4078C" w:rsidRDefault="009760CB">
      <w:pPr>
        <w:pStyle w:val="Signature"/>
        <w:tabs>
          <w:tab w:val="right" w:pos="9360"/>
        </w:tabs>
        <w:spacing w:before="100" w:beforeAutospacing="1" w:after="100" w:afterAutospacing="1"/>
        <w:ind w:left="4320"/>
        <w:rPr>
          <w:sz w:val="20"/>
          <w:szCs w:val="20"/>
        </w:rPr>
      </w:pPr>
      <w:r>
        <w:rPr>
          <w:sz w:val="20"/>
          <w:szCs w:val="20"/>
        </w:rPr>
        <w:br/>
        <w:t xml:space="preserve">By: </w:t>
      </w:r>
      <w:r>
        <w:rPr>
          <w:sz w:val="20"/>
          <w:szCs w:val="20"/>
          <w:u w:val="single"/>
        </w:rPr>
        <w:tab/>
      </w:r>
    </w:p>
    <w:p w:rsidR="00E4078C" w:rsidRDefault="009760CB">
      <w:pPr>
        <w:pStyle w:val="Signature"/>
        <w:tabs>
          <w:tab w:val="right" w:pos="9360"/>
        </w:tabs>
        <w:spacing w:before="100" w:beforeAutospacing="1" w:after="100" w:afterAutospacing="1"/>
        <w:ind w:left="4320"/>
        <w:rPr>
          <w:sz w:val="20"/>
          <w:szCs w:val="20"/>
        </w:rPr>
      </w:pPr>
    </w:p>
    <w:p w:rsidR="00E4078C" w:rsidRDefault="009760CB">
      <w:pPr>
        <w:pStyle w:val="Signature"/>
        <w:tabs>
          <w:tab w:val="right" w:pos="9360"/>
        </w:tabs>
        <w:spacing w:before="100" w:beforeAutospacing="1" w:after="100" w:afterAutospacing="1"/>
        <w:ind w:left="4320"/>
        <w:rPr>
          <w:sz w:val="20"/>
          <w:szCs w:val="20"/>
        </w:rPr>
      </w:pPr>
    </w:p>
    <w:p w:rsidR="00E4078C" w:rsidRDefault="009760CB">
      <w:pPr>
        <w:pStyle w:val="Signature"/>
        <w:tabs>
          <w:tab w:val="right" w:pos="9360"/>
        </w:tabs>
        <w:spacing w:before="100" w:beforeAutospacing="1" w:after="100" w:afterAutospacing="1"/>
        <w:ind w:left="4320"/>
        <w:rPr>
          <w:sz w:val="20"/>
          <w:szCs w:val="20"/>
        </w:rPr>
      </w:pPr>
      <w:r>
        <w:rPr>
          <w:sz w:val="20"/>
          <w:szCs w:val="20"/>
        </w:rPr>
        <w:t>SURETY:</w:t>
      </w:r>
    </w:p>
    <w:p w:rsidR="00E4078C" w:rsidRDefault="009760CB">
      <w:pPr>
        <w:pStyle w:val="Signature"/>
        <w:tabs>
          <w:tab w:val="right" w:pos="9360"/>
        </w:tabs>
        <w:spacing w:before="100" w:beforeAutospacing="1" w:after="100" w:afterAutospacing="1"/>
        <w:ind w:left="4320"/>
        <w:rPr>
          <w:sz w:val="20"/>
          <w:szCs w:val="20"/>
        </w:rPr>
      </w:pPr>
      <w:r>
        <w:rPr>
          <w:sz w:val="20"/>
          <w:szCs w:val="20"/>
          <w:u w:val="single"/>
        </w:rPr>
        <w:tab/>
      </w:r>
    </w:p>
    <w:p w:rsidR="00E4078C" w:rsidRDefault="009760CB">
      <w:pPr>
        <w:pStyle w:val="Signature"/>
        <w:tabs>
          <w:tab w:val="right" w:pos="9360"/>
        </w:tabs>
        <w:spacing w:before="100" w:beforeAutospacing="1" w:after="100" w:afterAutospacing="1"/>
        <w:ind w:left="4320"/>
        <w:rPr>
          <w:sz w:val="20"/>
          <w:szCs w:val="20"/>
          <w:u w:val="single"/>
        </w:rPr>
      </w:pPr>
      <w:r>
        <w:rPr>
          <w:sz w:val="20"/>
          <w:szCs w:val="20"/>
        </w:rPr>
        <w:br/>
        <w:t xml:space="preserve">By: </w:t>
      </w:r>
      <w:r>
        <w:rPr>
          <w:sz w:val="20"/>
          <w:szCs w:val="20"/>
          <w:u w:val="single"/>
        </w:rPr>
        <w:tab/>
      </w:r>
    </w:p>
    <w:p w:rsidR="00E4078C" w:rsidRDefault="009760CB">
      <w:pPr>
        <w:pStyle w:val="Signature"/>
        <w:tabs>
          <w:tab w:val="left" w:pos="5040"/>
          <w:tab w:val="right" w:pos="9360"/>
        </w:tabs>
        <w:spacing w:before="100" w:beforeAutospacing="1" w:after="100" w:afterAutospacing="1"/>
        <w:ind w:left="4320"/>
        <w:rPr>
          <w:sz w:val="20"/>
          <w:szCs w:val="20"/>
          <w:u w:val="single"/>
        </w:rPr>
      </w:pPr>
      <w:r>
        <w:rPr>
          <w:sz w:val="20"/>
          <w:szCs w:val="20"/>
        </w:rPr>
        <w:tab/>
        <w:t>Attorney-in-Fact</w:t>
      </w:r>
    </w:p>
    <w:p w:rsidR="00E4078C" w:rsidRDefault="009760CB">
      <w:pPr>
        <w:jc w:val="both"/>
        <w:rPr>
          <w:sz w:val="20"/>
          <w:szCs w:val="20"/>
        </w:rPr>
      </w:pPr>
    </w:p>
    <w:p w:rsidR="00E4078C" w:rsidRDefault="009760CB">
      <w:pPr>
        <w:pStyle w:val="BodyTextFlush"/>
        <w:rPr>
          <w:sz w:val="20"/>
          <w:szCs w:val="20"/>
        </w:rPr>
      </w:pPr>
      <w:r>
        <w:rPr>
          <w:sz w:val="20"/>
          <w:szCs w:val="20"/>
        </w:rPr>
        <w:br w:type="page"/>
      </w:r>
      <w:r>
        <w:rPr>
          <w:sz w:val="20"/>
          <w:szCs w:val="20"/>
          <w:u w:val="single"/>
        </w:rPr>
        <w:lastRenderedPageBreak/>
        <w:t>IMPORTANT</w:t>
      </w:r>
      <w:r>
        <w:rPr>
          <w:sz w:val="20"/>
          <w:szCs w:val="20"/>
        </w:rPr>
        <w:t>:</w:t>
      </w:r>
      <w:r>
        <w:rPr>
          <w:sz w:val="20"/>
          <w:szCs w:val="20"/>
        </w:rPr>
        <w:tab/>
      </w:r>
      <w:r>
        <w:rPr>
          <w:sz w:val="20"/>
          <w:szCs w:val="20"/>
          <w:u w:val="single"/>
        </w:rPr>
        <w:t>THIS IS A REQUIRED FORM</w:t>
      </w:r>
      <w:r>
        <w:rPr>
          <w:sz w:val="20"/>
          <w:szCs w:val="20"/>
        </w:rPr>
        <w:t>.</w:t>
      </w:r>
    </w:p>
    <w:p w:rsidR="00E4078C" w:rsidRDefault="009760CB">
      <w:pPr>
        <w:pStyle w:val="BodyTextFlush"/>
        <w:rPr>
          <w:sz w:val="20"/>
          <w:szCs w:val="20"/>
        </w:rPr>
      </w:pPr>
      <w:r>
        <w:rPr>
          <w:sz w:val="20"/>
          <w:szCs w:val="20"/>
        </w:rPr>
        <w:t xml:space="preserve">Surety companies executing bonds must possess a certificate of authority from the California Insurance Commissioner authorizing them to write surety insurance defined in California Insurance Code </w:t>
      </w:r>
      <w:r>
        <w:rPr>
          <w:sz w:val="20"/>
          <w:szCs w:val="20"/>
        </w:rPr>
        <w:t>section</w:t>
      </w:r>
      <w:r>
        <w:rPr>
          <w:sz w:val="20"/>
          <w:szCs w:val="20"/>
        </w:rPr>
        <w:t xml:space="preserve"> 105, and if the work or project is financed, in whol</w:t>
      </w:r>
      <w:r>
        <w:rPr>
          <w:sz w:val="20"/>
          <w:szCs w:val="20"/>
        </w:rPr>
        <w:t>e or in part, with federal, grant or loan funds, Surety’s name must also appear on the Treasury Department’s most current list (Circular 570 as amended).</w:t>
      </w:r>
    </w:p>
    <w:p w:rsidR="00E4078C" w:rsidRDefault="009760CB">
      <w:pPr>
        <w:pStyle w:val="BodyTextFlush"/>
        <w:rPr>
          <w:sz w:val="20"/>
          <w:szCs w:val="20"/>
        </w:rPr>
      </w:pPr>
      <w:r>
        <w:rPr>
          <w:sz w:val="20"/>
          <w:szCs w:val="20"/>
        </w:rPr>
        <w:t>Any claims under this bond may be addressed to:</w:t>
      </w:r>
    </w:p>
    <w:p w:rsidR="00E4078C" w:rsidRDefault="009760CB">
      <w:pPr>
        <w:pStyle w:val="BodyTextFlush"/>
        <w:rPr>
          <w:sz w:val="20"/>
          <w:szCs w:val="20"/>
        </w:rPr>
      </w:pPr>
    </w:p>
    <w:tbl>
      <w:tblPr>
        <w:tblW w:w="0" w:type="auto"/>
        <w:tblLook w:val="01E0" w:firstRow="1" w:lastRow="1" w:firstColumn="1" w:lastColumn="1" w:noHBand="0" w:noVBand="0"/>
      </w:tblPr>
      <w:tblGrid>
        <w:gridCol w:w="4787"/>
        <w:gridCol w:w="4789"/>
      </w:tblGrid>
      <w:tr w:rsidR="00C05B7A" w:rsidTr="00DC071D">
        <w:trPr>
          <w:cantSplit/>
        </w:trPr>
        <w:tc>
          <w:tcPr>
            <w:tcW w:w="4787" w:type="dxa"/>
            <w:shd w:val="clear" w:color="auto" w:fill="auto"/>
          </w:tcPr>
          <w:p w:rsidR="00E4078C" w:rsidRDefault="009760CB">
            <w:pPr>
              <w:spacing w:after="240"/>
              <w:jc w:val="both"/>
              <w:rPr>
                <w:sz w:val="20"/>
                <w:szCs w:val="20"/>
              </w:rPr>
            </w:pPr>
            <w:r>
              <w:rPr>
                <w:sz w:val="20"/>
                <w:szCs w:val="20"/>
              </w:rPr>
              <w:t>(Name and Address of Surety)</w:t>
            </w:r>
          </w:p>
        </w:tc>
        <w:tc>
          <w:tcPr>
            <w:tcW w:w="4789" w:type="dxa"/>
            <w:shd w:val="clear" w:color="auto" w:fill="auto"/>
          </w:tcPr>
          <w:p w:rsidR="00E4078C" w:rsidRDefault="009760CB">
            <w:pPr>
              <w:spacing w:after="240"/>
              <w:jc w:val="both"/>
              <w:rPr>
                <w:sz w:val="20"/>
                <w:szCs w:val="20"/>
              </w:rPr>
            </w:pPr>
            <w:r>
              <w:rPr>
                <w:sz w:val="20"/>
                <w:szCs w:val="20"/>
              </w:rPr>
              <w:t>(Name and Address of age</w:t>
            </w:r>
            <w:r>
              <w:rPr>
                <w:sz w:val="20"/>
                <w:szCs w:val="20"/>
              </w:rPr>
              <w:t>nt or representative for service for service of process in California)</w:t>
            </w:r>
          </w:p>
        </w:tc>
      </w:tr>
      <w:tr w:rsidR="00C05B7A" w:rsidTr="00DC071D">
        <w:trPr>
          <w:cantSplit/>
        </w:trPr>
        <w:tc>
          <w:tcPr>
            <w:tcW w:w="4787" w:type="dxa"/>
            <w:shd w:val="clear" w:color="auto" w:fill="auto"/>
          </w:tcPr>
          <w:p w:rsidR="00E4078C" w:rsidRDefault="009760CB">
            <w:pPr>
              <w:tabs>
                <w:tab w:val="right" w:pos="4279"/>
              </w:tabs>
              <w:spacing w:after="240"/>
              <w:jc w:val="both"/>
              <w:rPr>
                <w:sz w:val="20"/>
                <w:szCs w:val="20"/>
              </w:rPr>
            </w:pPr>
            <w:r>
              <w:rPr>
                <w:sz w:val="20"/>
                <w:szCs w:val="20"/>
                <w:u w:val="single"/>
              </w:rPr>
              <w:tab/>
            </w:r>
            <w:r>
              <w:rPr>
                <w:sz w:val="20"/>
                <w:szCs w:val="20"/>
                <w:u w:val="single"/>
              </w:rPr>
              <w:br/>
            </w:r>
            <w:r>
              <w:rPr>
                <w:sz w:val="20"/>
                <w:szCs w:val="20"/>
                <w:u w:val="single"/>
              </w:rPr>
              <w:br/>
            </w:r>
            <w:r>
              <w:rPr>
                <w:sz w:val="20"/>
                <w:szCs w:val="20"/>
                <w:u w:val="single"/>
              </w:rPr>
              <w:tab/>
            </w:r>
            <w:r>
              <w:rPr>
                <w:sz w:val="20"/>
                <w:szCs w:val="20"/>
              </w:rPr>
              <w:br/>
            </w:r>
            <w:r>
              <w:rPr>
                <w:sz w:val="20"/>
                <w:szCs w:val="20"/>
              </w:rPr>
              <w:br/>
              <w:t>Telephone:</w:t>
            </w:r>
            <w:r>
              <w:rPr>
                <w:sz w:val="20"/>
                <w:szCs w:val="20"/>
                <w:u w:val="single"/>
              </w:rPr>
              <w:tab/>
            </w:r>
          </w:p>
        </w:tc>
        <w:tc>
          <w:tcPr>
            <w:tcW w:w="4789" w:type="dxa"/>
            <w:shd w:val="clear" w:color="auto" w:fill="auto"/>
          </w:tcPr>
          <w:p w:rsidR="00E4078C" w:rsidRDefault="009760CB">
            <w:pPr>
              <w:tabs>
                <w:tab w:val="right" w:pos="4572"/>
              </w:tabs>
              <w:spacing w:after="240"/>
              <w:jc w:val="both"/>
              <w:rPr>
                <w:sz w:val="20"/>
                <w:szCs w:val="20"/>
                <w:u w:val="single"/>
              </w:rPr>
            </w:pPr>
            <w:r>
              <w:rPr>
                <w:sz w:val="20"/>
                <w:szCs w:val="20"/>
                <w:u w:val="single"/>
              </w:rPr>
              <w:tab/>
            </w:r>
            <w:r>
              <w:rPr>
                <w:sz w:val="20"/>
                <w:szCs w:val="20"/>
              </w:rPr>
              <w:br/>
            </w:r>
            <w:r>
              <w:rPr>
                <w:sz w:val="20"/>
                <w:szCs w:val="20"/>
              </w:rPr>
              <w:br/>
            </w:r>
            <w:r>
              <w:rPr>
                <w:sz w:val="20"/>
                <w:szCs w:val="20"/>
                <w:u w:val="single"/>
              </w:rPr>
              <w:tab/>
            </w:r>
            <w:r>
              <w:rPr>
                <w:sz w:val="20"/>
                <w:szCs w:val="20"/>
              </w:rPr>
              <w:br/>
            </w:r>
            <w:r>
              <w:rPr>
                <w:sz w:val="20"/>
                <w:szCs w:val="20"/>
              </w:rPr>
              <w:br/>
              <w:t xml:space="preserve">Telephone:  </w:t>
            </w:r>
            <w:r>
              <w:rPr>
                <w:sz w:val="20"/>
                <w:szCs w:val="20"/>
                <w:u w:val="single"/>
              </w:rPr>
              <w:tab/>
            </w:r>
          </w:p>
        </w:tc>
      </w:tr>
    </w:tbl>
    <w:p w:rsidR="00DC071D" w:rsidRDefault="009760CB" w:rsidP="00DC071D">
      <w:pPr>
        <w:jc w:val="both"/>
        <w:rPr>
          <w:szCs w:val="22"/>
        </w:rPr>
      </w:pPr>
    </w:p>
    <w:p w:rsidR="00DC071D" w:rsidRPr="00DC071D" w:rsidRDefault="009760CB" w:rsidP="00DC071D">
      <w:pPr>
        <w:jc w:val="both"/>
        <w:rPr>
          <w:sz w:val="20"/>
          <w:szCs w:val="20"/>
        </w:rPr>
      </w:pPr>
    </w:p>
    <w:tbl>
      <w:tblPr>
        <w:tblStyle w:val="TableGrid"/>
        <w:tblW w:w="0" w:type="auto"/>
        <w:tblLook w:val="04A0" w:firstRow="1" w:lastRow="0" w:firstColumn="1" w:lastColumn="0" w:noHBand="0" w:noVBand="1"/>
      </w:tblPr>
      <w:tblGrid>
        <w:gridCol w:w="9576"/>
      </w:tblGrid>
      <w:tr w:rsidR="00C05B7A" w:rsidTr="003C236C">
        <w:tc>
          <w:tcPr>
            <w:tcW w:w="9576" w:type="dxa"/>
            <w:tcBorders>
              <w:top w:val="single" w:sz="4" w:space="0" w:color="auto"/>
              <w:left w:val="single" w:sz="4" w:space="0" w:color="auto"/>
              <w:bottom w:val="single" w:sz="4" w:space="0" w:color="auto"/>
              <w:right w:val="single" w:sz="4" w:space="0" w:color="auto"/>
            </w:tcBorders>
          </w:tcPr>
          <w:p w:rsidR="00DC071D" w:rsidRPr="00DC071D" w:rsidRDefault="009760CB" w:rsidP="003C236C">
            <w:pPr>
              <w:jc w:val="both"/>
              <w:rPr>
                <w:sz w:val="20"/>
                <w:szCs w:val="20"/>
              </w:rPr>
            </w:pPr>
            <w:r w:rsidRPr="00DC071D">
              <w:rPr>
                <w:sz w:val="20"/>
                <w:szCs w:val="20"/>
              </w:rPr>
              <w:t xml:space="preserve">A notary public or other office completing this certificate verifies only the identity of the individual who signed the document to which this </w:t>
            </w:r>
            <w:r w:rsidRPr="00DC071D">
              <w:rPr>
                <w:sz w:val="20"/>
                <w:szCs w:val="20"/>
              </w:rPr>
              <w:t>certificate is attached, and not the truthfulness, accuracy, or validity of that document.</w:t>
            </w:r>
          </w:p>
        </w:tc>
      </w:tr>
    </w:tbl>
    <w:p w:rsidR="00DC071D" w:rsidRPr="00DC071D" w:rsidRDefault="009760CB" w:rsidP="00DC071D">
      <w:pPr>
        <w:jc w:val="both"/>
        <w:rPr>
          <w:sz w:val="20"/>
          <w:szCs w:val="20"/>
        </w:rPr>
      </w:pPr>
    </w:p>
    <w:p w:rsidR="00DC071D" w:rsidRPr="00DC071D" w:rsidRDefault="009760CB" w:rsidP="00DC071D">
      <w:pPr>
        <w:pStyle w:val="BodyTextFlush"/>
        <w:jc w:val="left"/>
        <w:rPr>
          <w:sz w:val="20"/>
          <w:szCs w:val="20"/>
        </w:rPr>
      </w:pPr>
      <w:r w:rsidRPr="00DC071D">
        <w:rPr>
          <w:sz w:val="20"/>
          <w:szCs w:val="20"/>
        </w:rPr>
        <w:t>STATE OF CALIFORNIA</w:t>
      </w:r>
      <w:r w:rsidRPr="00DC071D">
        <w:rPr>
          <w:sz w:val="20"/>
          <w:szCs w:val="20"/>
        </w:rPr>
        <w:tab/>
      </w:r>
      <w:r w:rsidRPr="00DC071D">
        <w:rPr>
          <w:sz w:val="20"/>
          <w:szCs w:val="20"/>
        </w:rPr>
        <w:tab/>
        <w:t>)</w:t>
      </w:r>
      <w:r w:rsidRPr="00DC071D">
        <w:rPr>
          <w:sz w:val="20"/>
          <w:szCs w:val="20"/>
        </w:rPr>
        <w:br/>
      </w:r>
      <w:r w:rsidRPr="00DC071D">
        <w:rPr>
          <w:sz w:val="20"/>
          <w:szCs w:val="20"/>
        </w:rPr>
        <w:tab/>
      </w:r>
      <w:r w:rsidRPr="00DC071D">
        <w:rPr>
          <w:sz w:val="20"/>
          <w:szCs w:val="20"/>
        </w:rPr>
        <w:tab/>
      </w:r>
      <w:r w:rsidRPr="00DC071D">
        <w:rPr>
          <w:sz w:val="20"/>
          <w:szCs w:val="20"/>
        </w:rPr>
        <w:tab/>
      </w:r>
      <w:r w:rsidRPr="00DC071D">
        <w:rPr>
          <w:sz w:val="20"/>
          <w:szCs w:val="20"/>
        </w:rPr>
        <w:tab/>
      </w:r>
      <w:r w:rsidRPr="00DC071D">
        <w:rPr>
          <w:sz w:val="20"/>
          <w:szCs w:val="20"/>
        </w:rPr>
        <w:tab/>
        <w:t>)  ss.</w:t>
      </w:r>
      <w:r w:rsidRPr="00DC071D">
        <w:rPr>
          <w:sz w:val="20"/>
          <w:szCs w:val="20"/>
        </w:rPr>
        <w:br/>
        <w:t>COUNTY OF</w:t>
      </w:r>
      <w:r w:rsidRPr="00DC071D">
        <w:rPr>
          <w:sz w:val="20"/>
          <w:szCs w:val="20"/>
        </w:rPr>
        <w:tab/>
      </w:r>
      <w:r w:rsidRPr="00DC071D">
        <w:rPr>
          <w:sz w:val="20"/>
          <w:szCs w:val="20"/>
        </w:rPr>
        <w:tab/>
      </w:r>
      <w:r w:rsidRPr="00DC071D">
        <w:rPr>
          <w:sz w:val="20"/>
          <w:szCs w:val="20"/>
        </w:rPr>
        <w:tab/>
      </w:r>
      <w:r w:rsidRPr="00DC071D">
        <w:rPr>
          <w:sz w:val="20"/>
          <w:szCs w:val="20"/>
        </w:rPr>
        <w:tab/>
        <w:t>)</w:t>
      </w:r>
    </w:p>
    <w:p w:rsidR="00DC071D" w:rsidRPr="00DC071D" w:rsidRDefault="009760CB" w:rsidP="00DC071D">
      <w:pPr>
        <w:pStyle w:val="BodyTextFirstIndent"/>
        <w:tabs>
          <w:tab w:val="left" w:pos="5760"/>
        </w:tabs>
        <w:ind w:firstLine="0"/>
        <w:rPr>
          <w:sz w:val="20"/>
          <w:szCs w:val="20"/>
        </w:rPr>
      </w:pPr>
      <w:r w:rsidRPr="00DC071D">
        <w:rPr>
          <w:sz w:val="20"/>
          <w:szCs w:val="20"/>
        </w:rPr>
        <w:t>On ___________________________, before me, ___________________________________________, personally appeared _____</w:t>
      </w:r>
      <w:r w:rsidRPr="00DC071D">
        <w:rPr>
          <w:sz w:val="20"/>
          <w:szCs w:val="20"/>
        </w:rPr>
        <w:t xml:space="preserve">____________________________, who proved on the basis of satisfactory evidence to be the person(s) whose name(s) is/are subscribed to the within instrument and acknowledged to me that he/she/they executed the same in his/her/their authorized capacity(ies) </w:t>
      </w:r>
      <w:r w:rsidRPr="00DC071D">
        <w:rPr>
          <w:sz w:val="20"/>
          <w:szCs w:val="20"/>
        </w:rPr>
        <w:t>as the Attorney-in-Fact of ____________________________ (Surety) and acknowledged to me that by his/her/their signature(s) on the instrument the person(s), or the entity upon behalf of which the person(s) executed the instrument.</w:t>
      </w:r>
    </w:p>
    <w:p w:rsidR="00E4078C" w:rsidRPr="00DC071D" w:rsidRDefault="009760CB" w:rsidP="00DC071D">
      <w:pPr>
        <w:pStyle w:val="BodyTextFirstIndent"/>
        <w:tabs>
          <w:tab w:val="left" w:pos="5760"/>
        </w:tabs>
        <w:ind w:firstLine="0"/>
        <w:rPr>
          <w:sz w:val="20"/>
          <w:szCs w:val="20"/>
        </w:rPr>
      </w:pPr>
      <w:r w:rsidRPr="00DC071D">
        <w:rPr>
          <w:sz w:val="20"/>
          <w:szCs w:val="20"/>
        </w:rPr>
        <w:t>I certify under PENALTY OF</w:t>
      </w:r>
      <w:r w:rsidRPr="00DC071D">
        <w:rPr>
          <w:sz w:val="20"/>
          <w:szCs w:val="20"/>
        </w:rPr>
        <w:t xml:space="preserve"> PERJURY under the laws of the State of California that the foregoing paragraph is true and correct</w:t>
      </w:r>
      <w:r w:rsidRPr="00DC071D">
        <w:rPr>
          <w:sz w:val="20"/>
          <w:szCs w:val="20"/>
        </w:rPr>
        <w:t>.</w:t>
      </w:r>
    </w:p>
    <w:p w:rsidR="00E4078C" w:rsidRDefault="009760CB">
      <w:pPr>
        <w:pStyle w:val="BodyTextFirstIndent"/>
        <w:tabs>
          <w:tab w:val="left" w:pos="5760"/>
        </w:tabs>
        <w:ind w:firstLine="0"/>
        <w:rPr>
          <w:sz w:val="20"/>
          <w:szCs w:val="20"/>
        </w:rPr>
      </w:pPr>
    </w:p>
    <w:p w:rsidR="00E4078C" w:rsidRDefault="009760CB">
      <w:pPr>
        <w:pStyle w:val="BodyTextFirstIndent"/>
        <w:tabs>
          <w:tab w:val="left" w:pos="5760"/>
        </w:tabs>
        <w:ind w:firstLine="0"/>
        <w:rPr>
          <w:sz w:val="20"/>
          <w:szCs w:val="20"/>
        </w:rPr>
      </w:pPr>
      <w:r>
        <w:rPr>
          <w:sz w:val="20"/>
          <w:szCs w:val="20"/>
        </w:rPr>
        <w:t>WITNESS my hand and official seal.</w:t>
      </w:r>
    </w:p>
    <w:tbl>
      <w:tblPr>
        <w:tblW w:w="0" w:type="auto"/>
        <w:tblLook w:val="01E0" w:firstRow="1" w:lastRow="1" w:firstColumn="1" w:lastColumn="1" w:noHBand="0" w:noVBand="0"/>
      </w:tblPr>
      <w:tblGrid>
        <w:gridCol w:w="4787"/>
        <w:gridCol w:w="4789"/>
      </w:tblGrid>
      <w:tr w:rsidR="00C05B7A">
        <w:trPr>
          <w:cantSplit/>
        </w:trPr>
        <w:tc>
          <w:tcPr>
            <w:tcW w:w="4787" w:type="dxa"/>
            <w:shd w:val="clear" w:color="auto" w:fill="auto"/>
          </w:tcPr>
          <w:p w:rsidR="00E4078C" w:rsidRDefault="009760CB">
            <w:pPr>
              <w:tabs>
                <w:tab w:val="right" w:pos="4279"/>
              </w:tabs>
              <w:spacing w:before="240"/>
              <w:rPr>
                <w:sz w:val="20"/>
                <w:szCs w:val="20"/>
              </w:rPr>
            </w:pPr>
            <w:r>
              <w:rPr>
                <w:sz w:val="20"/>
                <w:szCs w:val="20"/>
                <w:u w:val="single"/>
              </w:rPr>
              <w:tab/>
            </w:r>
            <w:r>
              <w:rPr>
                <w:sz w:val="20"/>
                <w:szCs w:val="20"/>
                <w:u w:val="single"/>
              </w:rPr>
              <w:br/>
            </w:r>
            <w:r>
              <w:rPr>
                <w:sz w:val="20"/>
                <w:szCs w:val="20"/>
              </w:rPr>
              <w:t>Notary Public in and for said State</w:t>
            </w:r>
            <w:r>
              <w:rPr>
                <w:sz w:val="20"/>
                <w:szCs w:val="20"/>
                <w:u w:val="single"/>
              </w:rPr>
              <w:br/>
            </w:r>
            <w:r>
              <w:rPr>
                <w:sz w:val="20"/>
                <w:szCs w:val="20"/>
              </w:rPr>
              <w:br/>
              <w:t>Commission expires:</w:t>
            </w:r>
            <w:r>
              <w:rPr>
                <w:sz w:val="20"/>
                <w:szCs w:val="20"/>
                <w:u w:val="single"/>
              </w:rPr>
              <w:tab/>
            </w:r>
          </w:p>
        </w:tc>
        <w:tc>
          <w:tcPr>
            <w:tcW w:w="4789" w:type="dxa"/>
            <w:shd w:val="clear" w:color="auto" w:fill="auto"/>
          </w:tcPr>
          <w:p w:rsidR="00E4078C" w:rsidRDefault="009760CB">
            <w:pPr>
              <w:tabs>
                <w:tab w:val="right" w:pos="4572"/>
              </w:tabs>
              <w:spacing w:before="240"/>
              <w:ind w:left="2413"/>
              <w:jc w:val="both"/>
              <w:rPr>
                <w:sz w:val="20"/>
                <w:szCs w:val="20"/>
              </w:rPr>
            </w:pPr>
            <w:r>
              <w:rPr>
                <w:sz w:val="20"/>
                <w:szCs w:val="20"/>
              </w:rPr>
              <w:t>(SEAL)</w:t>
            </w:r>
          </w:p>
        </w:tc>
      </w:tr>
    </w:tbl>
    <w:p w:rsidR="00E4078C" w:rsidRDefault="009760CB">
      <w:pPr>
        <w:jc w:val="center"/>
        <w:rPr>
          <w:sz w:val="20"/>
          <w:szCs w:val="20"/>
        </w:rPr>
      </w:pPr>
    </w:p>
    <w:p w:rsidR="00E4078C" w:rsidRDefault="009760CB">
      <w:pPr>
        <w:pStyle w:val="BodyTextFlush"/>
        <w:spacing w:before="200"/>
        <w:rPr>
          <w:sz w:val="20"/>
          <w:szCs w:val="20"/>
        </w:rPr>
      </w:pPr>
    </w:p>
    <w:p w:rsidR="00E4078C" w:rsidRDefault="009760CB">
      <w:pPr>
        <w:pStyle w:val="BodyTextFlush"/>
        <w:spacing w:before="200"/>
        <w:rPr>
          <w:sz w:val="20"/>
          <w:szCs w:val="20"/>
        </w:rPr>
      </w:pPr>
      <w:r>
        <w:rPr>
          <w:sz w:val="20"/>
          <w:szCs w:val="20"/>
        </w:rPr>
        <w:t xml:space="preserve">NOTE:  A copy of the power-of-attorney to local </w:t>
      </w:r>
      <w:r>
        <w:rPr>
          <w:sz w:val="20"/>
          <w:szCs w:val="20"/>
        </w:rPr>
        <w:t>representatives of the bonding company must be attached hereto.</w:t>
      </w:r>
    </w:p>
    <w:p w:rsidR="00E4078C" w:rsidRDefault="009760CB">
      <w:pPr>
        <w:pStyle w:val="Title"/>
        <w:spacing w:before="200"/>
        <w:rPr>
          <w:sz w:val="20"/>
          <w:szCs w:val="20"/>
        </w:rPr>
      </w:pPr>
      <w:r>
        <w:rPr>
          <w:sz w:val="20"/>
          <w:szCs w:val="20"/>
        </w:rPr>
        <w:br w:type="page"/>
      </w:r>
      <w:bookmarkStart w:id="280" w:name="_Toc365549877"/>
      <w:r>
        <w:rPr>
          <w:sz w:val="20"/>
          <w:szCs w:val="20"/>
        </w:rPr>
        <w:lastRenderedPageBreak/>
        <w:t>EXHIBIT “E”</w:t>
      </w:r>
      <w:r>
        <w:rPr>
          <w:sz w:val="20"/>
          <w:szCs w:val="20"/>
        </w:rPr>
        <w:br/>
        <w:t>CONTRACT PERFORMANCE BOND</w:t>
      </w:r>
      <w:r>
        <w:rPr>
          <w:sz w:val="20"/>
          <w:szCs w:val="20"/>
        </w:rPr>
        <w:br/>
        <w:t>(CALIFORNIA PUBLIC WORK)</w:t>
      </w:r>
      <w:bookmarkEnd w:id="280"/>
    </w:p>
    <w:p w:rsidR="00E4078C" w:rsidRDefault="009760CB">
      <w:pPr>
        <w:pStyle w:val="BodyTextFlush"/>
        <w:spacing w:before="200"/>
        <w:ind w:firstLine="720"/>
        <w:rPr>
          <w:sz w:val="20"/>
          <w:szCs w:val="20"/>
        </w:rPr>
      </w:pPr>
    </w:p>
    <w:p w:rsidR="00E4078C" w:rsidRDefault="009760CB">
      <w:pPr>
        <w:pStyle w:val="BodyTextFlush"/>
        <w:spacing w:before="200"/>
        <w:ind w:firstLine="720"/>
        <w:rPr>
          <w:sz w:val="20"/>
          <w:szCs w:val="20"/>
        </w:rPr>
      </w:pPr>
      <w:r>
        <w:rPr>
          <w:sz w:val="20"/>
          <w:szCs w:val="20"/>
        </w:rPr>
        <w:t>KNOW ALL MEN BY THESE PRESENTS:</w:t>
      </w:r>
    </w:p>
    <w:p w:rsidR="00E4078C" w:rsidRDefault="009760CB">
      <w:pPr>
        <w:pStyle w:val="BodyTextFirstIndent"/>
        <w:rPr>
          <w:sz w:val="20"/>
          <w:szCs w:val="20"/>
        </w:rPr>
      </w:pPr>
      <w:r>
        <w:rPr>
          <w:sz w:val="20"/>
          <w:szCs w:val="20"/>
        </w:rPr>
        <w:t xml:space="preserve">THAT WHEREAS, the </w:t>
      </w:r>
      <w:r>
        <w:rPr>
          <w:sz w:val="20"/>
          <w:szCs w:val="20"/>
        </w:rPr>
        <w:t xml:space="preserve">WOODLAND JOINT UNIFIED </w:t>
      </w:r>
      <w:r>
        <w:rPr>
          <w:sz w:val="20"/>
          <w:szCs w:val="20"/>
        </w:rPr>
        <w:t xml:space="preserve">SCHOOL </w:t>
      </w:r>
      <w:r>
        <w:rPr>
          <w:sz w:val="20"/>
          <w:szCs w:val="20"/>
        </w:rPr>
        <w:t xml:space="preserve">DISTRICT (sometimes referred to hereinafter as </w:t>
      </w:r>
      <w:r>
        <w:rPr>
          <w:sz w:val="20"/>
          <w:szCs w:val="20"/>
        </w:rPr>
        <w:t xml:space="preserve">“Obligee”) has awarded to ___________________________________________ (hereinafter designated as the “Principal” or “Contractor”), an agreement for the work described as follows: </w:t>
      </w:r>
      <w:r>
        <w:rPr>
          <w:sz w:val="20"/>
          <w:szCs w:val="20"/>
        </w:rPr>
        <w:t xml:space="preserve">Woodland High School HVAC Replacement Project </w:t>
      </w:r>
      <w:r>
        <w:rPr>
          <w:sz w:val="20"/>
          <w:szCs w:val="20"/>
        </w:rPr>
        <w:t>(hereinafter referred to as the</w:t>
      </w:r>
      <w:r>
        <w:rPr>
          <w:sz w:val="20"/>
          <w:szCs w:val="20"/>
        </w:rPr>
        <w:t xml:space="preserve"> “Public Work”); and</w:t>
      </w:r>
    </w:p>
    <w:p w:rsidR="00E4078C" w:rsidRDefault="009760CB">
      <w:pPr>
        <w:pStyle w:val="BodyTextFirstIndent"/>
        <w:rPr>
          <w:sz w:val="20"/>
          <w:szCs w:val="20"/>
        </w:rPr>
      </w:pPr>
      <w:r>
        <w:rPr>
          <w:sz w:val="20"/>
          <w:szCs w:val="20"/>
        </w:rPr>
        <w:t>WHEREAS, the work to be performed by the Contractor is more particularly set forth in that certain contract for said Public Work dated _____________ ____________________, (hereinafter referred to as the “Contract”), which Contract is i</w:t>
      </w:r>
      <w:r>
        <w:rPr>
          <w:sz w:val="20"/>
          <w:szCs w:val="20"/>
        </w:rPr>
        <w:t>ncorporated herein by this reference; and</w:t>
      </w:r>
    </w:p>
    <w:p w:rsidR="00E4078C" w:rsidRDefault="009760CB">
      <w:pPr>
        <w:pStyle w:val="BodyTextFirstIndent"/>
        <w:rPr>
          <w:sz w:val="20"/>
          <w:szCs w:val="20"/>
        </w:rPr>
      </w:pPr>
      <w:r>
        <w:rPr>
          <w:sz w:val="20"/>
          <w:szCs w:val="20"/>
        </w:rPr>
        <w:t>WHEREAS, the Contractor is required by said Contract to perform the terms thereof and to provide a bond both for the performance and guaranty thereof.</w:t>
      </w:r>
    </w:p>
    <w:p w:rsidR="00E4078C" w:rsidRDefault="009760CB">
      <w:pPr>
        <w:pStyle w:val="BodyTextFirstIndent"/>
        <w:rPr>
          <w:sz w:val="20"/>
          <w:szCs w:val="20"/>
        </w:rPr>
      </w:pPr>
      <w:r>
        <w:rPr>
          <w:sz w:val="20"/>
          <w:szCs w:val="20"/>
        </w:rPr>
        <w:t>NOW, THEREFORE, we, ______________________________________, the undersigned Contractor, as Principal, and ________________________________, a corporation organized and existing under the laws of the State of ________________, and duly authorized to transac</w:t>
      </w:r>
      <w:r>
        <w:rPr>
          <w:sz w:val="20"/>
          <w:szCs w:val="20"/>
        </w:rPr>
        <w:t xml:space="preserve">t business under the laws of the State of California, as Surety, are held and firmly bound unto the </w:t>
      </w:r>
      <w:r>
        <w:rPr>
          <w:sz w:val="20"/>
          <w:szCs w:val="20"/>
        </w:rPr>
        <w:t xml:space="preserve">WOODLAND JOINT UNIFIED </w:t>
      </w:r>
      <w:r>
        <w:rPr>
          <w:sz w:val="20"/>
          <w:szCs w:val="20"/>
        </w:rPr>
        <w:t xml:space="preserve">SCHOOL </w:t>
      </w:r>
      <w:r>
        <w:rPr>
          <w:sz w:val="20"/>
          <w:szCs w:val="20"/>
        </w:rPr>
        <w:t>DISTRICT in the sum of _____________________________________ Dollars ($_______________), said sum being not less than one hund</w:t>
      </w:r>
      <w:r>
        <w:rPr>
          <w:sz w:val="20"/>
          <w:szCs w:val="20"/>
        </w:rPr>
        <w:t xml:space="preserve">red percent (100%) of the total amount payable by said Obligee under the terms of said Contract, for which amount well and truly to be made, we bind ourselves, our heirs, executors, administrators, successors, and assigns, jointly and severally, firmly by </w:t>
      </w:r>
      <w:r>
        <w:rPr>
          <w:sz w:val="20"/>
          <w:szCs w:val="20"/>
        </w:rPr>
        <w:t>these presents.</w:t>
      </w:r>
    </w:p>
    <w:p w:rsidR="00E4078C" w:rsidRDefault="009760CB">
      <w:pPr>
        <w:pStyle w:val="BodyTextFirstIndent"/>
        <w:rPr>
          <w:sz w:val="20"/>
          <w:szCs w:val="20"/>
        </w:rPr>
      </w:pPr>
      <w:r>
        <w:rPr>
          <w:sz w:val="20"/>
          <w:szCs w:val="20"/>
        </w:rPr>
        <w:t>THE CONDITION OF THIS OBLIGATION IS SUCH THAT, if the bounded Contractor, his or her heirs, executors, administrators, successors or assigns, shall in all things stand to and abide by, and well and truly keep and perform the covenants, cond</w:t>
      </w:r>
      <w:r>
        <w:rPr>
          <w:sz w:val="20"/>
          <w:szCs w:val="20"/>
        </w:rPr>
        <w:t xml:space="preserve">itions, and agreements in said Contract and any alteration thereof made as therein provided, on his or her part, to be kept and performed at the time and in the manner therein specified, and in all respects according to their intent and meaning; and shall </w:t>
      </w:r>
      <w:r>
        <w:rPr>
          <w:sz w:val="20"/>
          <w:szCs w:val="20"/>
        </w:rPr>
        <w:t xml:space="preserve">faithfully fulfill guarantees of all materials and workmanship; and indemnify, defend and save harmless the Obligee, its officers and agents, as stipulated in said Contract, then this obligation shall become null and void; otherwise it shall be and remain </w:t>
      </w:r>
      <w:r>
        <w:rPr>
          <w:sz w:val="20"/>
          <w:szCs w:val="20"/>
        </w:rPr>
        <w:t>in full force and effect.</w:t>
      </w:r>
    </w:p>
    <w:p w:rsidR="00E4078C" w:rsidRDefault="009760CB">
      <w:pPr>
        <w:pStyle w:val="BodyTextFirstIndent"/>
        <w:rPr>
          <w:sz w:val="20"/>
          <w:szCs w:val="20"/>
        </w:rPr>
      </w:pPr>
      <w:r>
        <w:rPr>
          <w:sz w:val="20"/>
          <w:szCs w:val="20"/>
        </w:rPr>
        <w:t>The Surety, for value received, hereby stipulates and agrees that it shall not be exonerated or released from the obligation of this bond (either by total exoneration or pro tanto) by any change, extension of time, alteration in o</w:t>
      </w:r>
      <w:r>
        <w:rPr>
          <w:sz w:val="20"/>
          <w:szCs w:val="20"/>
        </w:rPr>
        <w:t>r addition to the terms of the contract or to the work to be performed there under or the specifications accompanying the same, nor by any change or modification to any terms of payment or extension of time for any payment pertaining or relating to any sch</w:t>
      </w:r>
      <w:r>
        <w:rPr>
          <w:sz w:val="20"/>
          <w:szCs w:val="20"/>
        </w:rPr>
        <w:t xml:space="preserve">eme of work of improvement under the contract. Surety also stipulates and agrees that it shall not be exonerated or released from the obligation of this bond (either by total exoneration or pro tanto) by any overpayment or underpayment by the Obligee that </w:t>
      </w:r>
      <w:r>
        <w:rPr>
          <w:sz w:val="20"/>
          <w:szCs w:val="20"/>
        </w:rPr>
        <w:t>is based upon estimates approved by the Architect.  The Surety stipulates and agrees that none of the aforementioned changes, modifications, alterations, additions, extension of time or actions shall in any way affect its obligation on this bond, and it do</w:t>
      </w:r>
      <w:r>
        <w:rPr>
          <w:sz w:val="20"/>
          <w:szCs w:val="20"/>
        </w:rPr>
        <w:t>es hereby waive notice of any such changes, modifications, alterations, additions or extension of time to the terms of the contract, or to the work, or the specifications as well notice of any other actions that result in the foregoing.</w:t>
      </w:r>
    </w:p>
    <w:p w:rsidR="00E4078C" w:rsidRDefault="009760CB">
      <w:pPr>
        <w:pStyle w:val="BodyTextFirstIndent"/>
        <w:rPr>
          <w:sz w:val="20"/>
          <w:szCs w:val="20"/>
        </w:rPr>
      </w:pPr>
      <w:r>
        <w:rPr>
          <w:sz w:val="20"/>
          <w:szCs w:val="20"/>
        </w:rPr>
        <w:t>Whenever Principal shall be, and is declared by the Obligee to be, in default under the Contract, the Surety shall promptly either remedy the default, or shall promptly take over and complete the Contract through its agents or independent contractors, subj</w:t>
      </w:r>
      <w:r>
        <w:rPr>
          <w:sz w:val="20"/>
          <w:szCs w:val="20"/>
        </w:rPr>
        <w:t>ect to acceptance and approval of such agents or independent contractors by Obligee as hereinafter set forth, in accordance with its terms and conditions and to pay and perform all obligations of Principal under the Contract, including, without limitation,</w:t>
      </w:r>
      <w:r>
        <w:rPr>
          <w:sz w:val="20"/>
          <w:szCs w:val="20"/>
        </w:rPr>
        <w:t xml:space="preserve"> all obligations with respect to warranties, guarantees and the payment of liquidated damages; or, at Obligee’s sole discretion and election, Surety shall obtain a bid or bids for </w:t>
      </w:r>
      <w:r>
        <w:rPr>
          <w:sz w:val="20"/>
          <w:szCs w:val="20"/>
        </w:rPr>
        <w:lastRenderedPageBreak/>
        <w:t>completing the Contract in accordance with its terms and conditions, and upo</w:t>
      </w:r>
      <w:r>
        <w:rPr>
          <w:sz w:val="20"/>
          <w:szCs w:val="20"/>
        </w:rPr>
        <w:t>n determination by Obligee of the lowest responsible bidder, arrange for a contract between such bidder and the Obligee and make available as Work progresses (even though there should be a default or succession of defaults under the contract or contracts o</w:t>
      </w:r>
      <w:r>
        <w:rPr>
          <w:sz w:val="20"/>
          <w:szCs w:val="20"/>
        </w:rPr>
        <w:t>f completion arranged under this paragraph)  sufficient funds to pay the cost of completion less the “balance of the Contract price” (as hereinafter defined), and to pay and perform all obligations of Principal under the Contract, including, without limita</w:t>
      </w:r>
      <w:r>
        <w:rPr>
          <w:sz w:val="20"/>
          <w:szCs w:val="20"/>
        </w:rPr>
        <w:t>tion, all obligations with respect to warranties, guarantees and the payment of liquidated damages.  The term “balance of the Contract price,” as used in this paragraph, shall mean the total amount payable to Principal by the Obligee under the Contract and</w:t>
      </w:r>
      <w:r>
        <w:rPr>
          <w:sz w:val="20"/>
          <w:szCs w:val="20"/>
        </w:rPr>
        <w:t xml:space="preserve"> any modifications thereto, less the amount previously paid by the Obligee to the Principal, less any withholdings by the Obligee allowed under the Contract.  Obligee shall not be required or obligated to accept a tender of a completion contractor from the</w:t>
      </w:r>
      <w:r>
        <w:rPr>
          <w:sz w:val="20"/>
          <w:szCs w:val="20"/>
        </w:rPr>
        <w:t xml:space="preserve"> Surety.</w:t>
      </w:r>
    </w:p>
    <w:p w:rsidR="00E4078C" w:rsidRDefault="009760CB">
      <w:pPr>
        <w:pStyle w:val="BodyTextFirstIndent"/>
        <w:rPr>
          <w:sz w:val="20"/>
          <w:szCs w:val="20"/>
        </w:rPr>
      </w:pPr>
      <w:r>
        <w:rPr>
          <w:sz w:val="20"/>
          <w:szCs w:val="20"/>
        </w:rPr>
        <w:t xml:space="preserve">    Surety expressly agrees that the Obligee may reject any agent or contractor which may be proposed by Surety in fulfillment of its obligations in the event of default by the Principal.  Unless otherwise agreed by Obligee, in its sole discretion</w:t>
      </w:r>
      <w:r>
        <w:rPr>
          <w:sz w:val="20"/>
          <w:szCs w:val="20"/>
        </w:rPr>
        <w:t>, Surety shall not utilize Principal in completing the Contract nor shall Surety accept a bid from Principal for completion of the work in the event of default by the Principal.</w:t>
      </w:r>
    </w:p>
    <w:p w:rsidR="00E4078C" w:rsidRDefault="009760CB">
      <w:pPr>
        <w:pStyle w:val="BodyTextFirstIndent"/>
        <w:rPr>
          <w:sz w:val="20"/>
          <w:szCs w:val="20"/>
        </w:rPr>
      </w:pPr>
      <w:r>
        <w:rPr>
          <w:sz w:val="20"/>
          <w:szCs w:val="20"/>
        </w:rPr>
        <w:t>No final settlement between the Obligee and the Contractor shall abridge the r</w:t>
      </w:r>
      <w:r>
        <w:rPr>
          <w:sz w:val="20"/>
          <w:szCs w:val="20"/>
        </w:rPr>
        <w:t>ight of any beneficiary hereunder, whose claim may be unsatisfied.</w:t>
      </w:r>
    </w:p>
    <w:p w:rsidR="00E4078C" w:rsidRDefault="009760CB">
      <w:pPr>
        <w:pStyle w:val="BodyTextFirstIndent"/>
        <w:rPr>
          <w:sz w:val="20"/>
          <w:szCs w:val="20"/>
        </w:rPr>
      </w:pPr>
      <w:r>
        <w:rPr>
          <w:sz w:val="20"/>
          <w:szCs w:val="20"/>
        </w:rPr>
        <w:t>The Surety shall remain responsible and liable for all patent and latent defects that arise out of or relate to the Contractor’s failure and/or inability to properly complete the Public Wor</w:t>
      </w:r>
      <w:r>
        <w:rPr>
          <w:sz w:val="20"/>
          <w:szCs w:val="20"/>
        </w:rPr>
        <w:t>k as required by the Contract and the Contract Documents.  The obligation of the Surety hereunder shall continue so long as any obligation of the Contractor remains.</w:t>
      </w:r>
    </w:p>
    <w:p w:rsidR="00E4078C" w:rsidRDefault="009760CB">
      <w:pPr>
        <w:pStyle w:val="BodyTextFirstIndent"/>
        <w:rPr>
          <w:sz w:val="20"/>
          <w:szCs w:val="20"/>
        </w:rPr>
      </w:pPr>
      <w:r>
        <w:rPr>
          <w:sz w:val="20"/>
          <w:szCs w:val="20"/>
        </w:rPr>
        <w:t>Contractor and Surety agree that if the Obligee is required to engage the services of an a</w:t>
      </w:r>
      <w:r>
        <w:rPr>
          <w:sz w:val="20"/>
          <w:szCs w:val="20"/>
        </w:rPr>
        <w:t>ttorney in connection with enforcement of the bond, Contractor and Surety shall pay Obligee’s reasonable attorneys’ fees incurred, with or without suit, in addition to the above sum.</w:t>
      </w:r>
    </w:p>
    <w:p w:rsidR="00E4078C" w:rsidRDefault="009760CB">
      <w:pPr>
        <w:pStyle w:val="BodyTextFirstIndent"/>
        <w:rPr>
          <w:sz w:val="20"/>
          <w:szCs w:val="20"/>
        </w:rPr>
      </w:pPr>
      <w:r>
        <w:rPr>
          <w:sz w:val="20"/>
          <w:szCs w:val="20"/>
        </w:rPr>
        <w:t>In the event suit is brought upon this bond by the Obligee and judgment i</w:t>
      </w:r>
      <w:r>
        <w:rPr>
          <w:sz w:val="20"/>
          <w:szCs w:val="20"/>
        </w:rPr>
        <w:t>s recovered, the Surety shall pay all costs incurred by the Obligee in such suit, including reasonable attorneys’ fees to be fixed by the Court.</w:t>
      </w:r>
      <w:r>
        <w:rPr>
          <w:sz w:val="20"/>
          <w:szCs w:val="20"/>
        </w:rPr>
        <w:br/>
      </w:r>
    </w:p>
    <w:p w:rsidR="00E4078C" w:rsidRDefault="009760CB">
      <w:pPr>
        <w:pStyle w:val="BodyTextFirstIndent"/>
        <w:rPr>
          <w:sz w:val="20"/>
          <w:szCs w:val="20"/>
        </w:rPr>
      </w:pPr>
      <w:r>
        <w:rPr>
          <w:sz w:val="20"/>
          <w:szCs w:val="20"/>
        </w:rPr>
        <w:t>IN WITNESS WHEREOF, we have hereunto set our hands and seals this _____ day of  _____________, 20___.</w:t>
      </w:r>
    </w:p>
    <w:p w:rsidR="00E4078C" w:rsidRDefault="009760CB">
      <w:pPr>
        <w:rPr>
          <w:rFonts w:eastAsia="Times New Roman"/>
          <w:sz w:val="20"/>
          <w:szCs w:val="20"/>
        </w:rPr>
      </w:pPr>
      <w:r>
        <w:rPr>
          <w:sz w:val="20"/>
          <w:szCs w:val="20"/>
        </w:rPr>
        <w:br w:type="page"/>
      </w:r>
    </w:p>
    <w:p w:rsidR="00E4078C" w:rsidRDefault="009760CB">
      <w:pPr>
        <w:pStyle w:val="Signature"/>
        <w:tabs>
          <w:tab w:val="right" w:pos="9360"/>
        </w:tabs>
        <w:spacing w:before="100" w:beforeAutospacing="1" w:after="100" w:afterAutospacing="1"/>
        <w:ind w:left="4320"/>
        <w:rPr>
          <w:sz w:val="20"/>
          <w:szCs w:val="20"/>
        </w:rPr>
      </w:pPr>
      <w:r>
        <w:rPr>
          <w:sz w:val="20"/>
          <w:szCs w:val="20"/>
        </w:rPr>
        <w:t>PRINCI</w:t>
      </w:r>
      <w:r>
        <w:rPr>
          <w:sz w:val="20"/>
          <w:szCs w:val="20"/>
        </w:rPr>
        <w:t>PAL/CONTRACTOR:</w:t>
      </w:r>
      <w:r>
        <w:rPr>
          <w:sz w:val="20"/>
          <w:szCs w:val="20"/>
        </w:rPr>
        <w:br/>
      </w:r>
      <w:r>
        <w:rPr>
          <w:sz w:val="20"/>
          <w:szCs w:val="20"/>
        </w:rPr>
        <w:br/>
      </w:r>
      <w:r>
        <w:rPr>
          <w:sz w:val="20"/>
          <w:szCs w:val="20"/>
          <w:u w:val="single"/>
        </w:rPr>
        <w:br/>
      </w:r>
      <w:r>
        <w:rPr>
          <w:sz w:val="20"/>
          <w:szCs w:val="20"/>
          <w:u w:val="single"/>
        </w:rPr>
        <w:tab/>
      </w:r>
    </w:p>
    <w:p w:rsidR="00E4078C" w:rsidRDefault="009760CB">
      <w:pPr>
        <w:pStyle w:val="Signature"/>
        <w:tabs>
          <w:tab w:val="right" w:pos="9360"/>
        </w:tabs>
        <w:spacing w:before="100" w:beforeAutospacing="1" w:after="100" w:afterAutospacing="1"/>
        <w:ind w:left="4320"/>
        <w:rPr>
          <w:sz w:val="20"/>
          <w:szCs w:val="20"/>
        </w:rPr>
      </w:pPr>
      <w:r>
        <w:rPr>
          <w:sz w:val="20"/>
          <w:szCs w:val="20"/>
        </w:rPr>
        <w:br/>
        <w:t xml:space="preserve">By: </w:t>
      </w:r>
      <w:r>
        <w:rPr>
          <w:sz w:val="20"/>
          <w:szCs w:val="20"/>
          <w:u w:val="single"/>
        </w:rPr>
        <w:tab/>
      </w:r>
    </w:p>
    <w:p w:rsidR="00E4078C" w:rsidRDefault="009760CB">
      <w:pPr>
        <w:pStyle w:val="Signature"/>
        <w:tabs>
          <w:tab w:val="right" w:pos="9360"/>
        </w:tabs>
        <w:spacing w:before="100" w:beforeAutospacing="1" w:after="100" w:afterAutospacing="1"/>
        <w:ind w:left="4320"/>
        <w:rPr>
          <w:sz w:val="20"/>
          <w:szCs w:val="20"/>
        </w:rPr>
      </w:pPr>
    </w:p>
    <w:p w:rsidR="00E4078C" w:rsidRDefault="009760CB">
      <w:pPr>
        <w:pStyle w:val="Signature"/>
        <w:tabs>
          <w:tab w:val="right" w:pos="9360"/>
        </w:tabs>
        <w:spacing w:before="100" w:beforeAutospacing="1" w:after="100" w:afterAutospacing="1"/>
        <w:ind w:left="4320"/>
        <w:rPr>
          <w:sz w:val="20"/>
          <w:szCs w:val="20"/>
        </w:rPr>
      </w:pPr>
      <w:r>
        <w:rPr>
          <w:sz w:val="20"/>
          <w:szCs w:val="20"/>
        </w:rPr>
        <w:br/>
        <w:t>SURETY:</w:t>
      </w:r>
    </w:p>
    <w:p w:rsidR="00E4078C" w:rsidRDefault="009760CB">
      <w:pPr>
        <w:pStyle w:val="Signature"/>
        <w:tabs>
          <w:tab w:val="right" w:pos="9360"/>
        </w:tabs>
        <w:spacing w:before="100" w:beforeAutospacing="1" w:after="100" w:afterAutospacing="1"/>
        <w:ind w:left="4320"/>
        <w:rPr>
          <w:sz w:val="20"/>
          <w:szCs w:val="20"/>
        </w:rPr>
      </w:pPr>
      <w:r>
        <w:rPr>
          <w:sz w:val="20"/>
          <w:szCs w:val="20"/>
          <w:u w:val="single"/>
        </w:rPr>
        <w:br/>
      </w:r>
      <w:r>
        <w:rPr>
          <w:sz w:val="20"/>
          <w:szCs w:val="20"/>
          <w:u w:val="single"/>
        </w:rPr>
        <w:tab/>
      </w:r>
    </w:p>
    <w:p w:rsidR="00E4078C" w:rsidRDefault="009760CB">
      <w:pPr>
        <w:pStyle w:val="Signature"/>
        <w:tabs>
          <w:tab w:val="right" w:pos="9360"/>
        </w:tabs>
        <w:spacing w:before="100" w:beforeAutospacing="1" w:after="100" w:afterAutospacing="1"/>
        <w:ind w:left="4320"/>
        <w:rPr>
          <w:sz w:val="20"/>
          <w:szCs w:val="20"/>
          <w:u w:val="single"/>
        </w:rPr>
      </w:pPr>
      <w:r>
        <w:rPr>
          <w:sz w:val="20"/>
          <w:szCs w:val="20"/>
        </w:rPr>
        <w:br/>
        <w:t xml:space="preserve">By: </w:t>
      </w:r>
      <w:r>
        <w:rPr>
          <w:sz w:val="20"/>
          <w:szCs w:val="20"/>
          <w:u w:val="single"/>
        </w:rPr>
        <w:tab/>
      </w:r>
    </w:p>
    <w:p w:rsidR="00E4078C" w:rsidRDefault="009760CB">
      <w:pPr>
        <w:pStyle w:val="Signature"/>
        <w:tabs>
          <w:tab w:val="left" w:pos="5040"/>
          <w:tab w:val="right" w:pos="9360"/>
        </w:tabs>
        <w:spacing w:before="100" w:beforeAutospacing="1" w:after="100" w:afterAutospacing="1"/>
        <w:ind w:left="4320"/>
        <w:rPr>
          <w:sz w:val="20"/>
          <w:szCs w:val="20"/>
        </w:rPr>
      </w:pPr>
      <w:r>
        <w:rPr>
          <w:sz w:val="20"/>
          <w:szCs w:val="20"/>
        </w:rPr>
        <w:tab/>
        <w:t>Attorney-in-Fact</w:t>
      </w:r>
    </w:p>
    <w:p w:rsidR="00E4078C" w:rsidRDefault="009760CB">
      <w:pPr>
        <w:pStyle w:val="BodyTextFirstIndent"/>
        <w:rPr>
          <w:sz w:val="20"/>
          <w:szCs w:val="20"/>
        </w:rPr>
      </w:pPr>
      <w:r>
        <w:rPr>
          <w:sz w:val="20"/>
          <w:szCs w:val="20"/>
        </w:rPr>
        <w:t>The rate of premium on this bond is   ______________________________ per thousand.</w:t>
      </w:r>
    </w:p>
    <w:p w:rsidR="00E4078C" w:rsidRDefault="009760CB">
      <w:pPr>
        <w:pStyle w:val="BodyTextFirstIndent"/>
        <w:rPr>
          <w:sz w:val="20"/>
          <w:szCs w:val="20"/>
        </w:rPr>
      </w:pPr>
      <w:r>
        <w:rPr>
          <w:sz w:val="20"/>
          <w:szCs w:val="20"/>
        </w:rPr>
        <w:t>The total amount of premium charged: $__________________________ (This must be filled in by a corporate sure</w:t>
      </w:r>
      <w:r>
        <w:rPr>
          <w:sz w:val="20"/>
          <w:szCs w:val="20"/>
        </w:rPr>
        <w:t>ty).</w:t>
      </w:r>
    </w:p>
    <w:p w:rsidR="00E4078C" w:rsidRDefault="009760CB">
      <w:pPr>
        <w:pStyle w:val="BodyTextFlush"/>
        <w:rPr>
          <w:sz w:val="20"/>
          <w:szCs w:val="20"/>
        </w:rPr>
      </w:pPr>
      <w:r>
        <w:rPr>
          <w:sz w:val="20"/>
          <w:szCs w:val="20"/>
          <w:u w:val="single"/>
        </w:rPr>
        <w:br/>
        <w:t>IMPORTANT</w:t>
      </w:r>
      <w:r>
        <w:rPr>
          <w:sz w:val="20"/>
          <w:szCs w:val="20"/>
        </w:rPr>
        <w:t>:</w:t>
      </w:r>
      <w:r>
        <w:rPr>
          <w:sz w:val="20"/>
          <w:szCs w:val="20"/>
        </w:rPr>
        <w:tab/>
      </w:r>
      <w:r>
        <w:rPr>
          <w:sz w:val="20"/>
          <w:szCs w:val="20"/>
          <w:u w:val="single"/>
        </w:rPr>
        <w:t>THIS IS A REQUIRED FORM</w:t>
      </w:r>
      <w:r>
        <w:rPr>
          <w:sz w:val="20"/>
          <w:szCs w:val="20"/>
        </w:rPr>
        <w:t>.</w:t>
      </w:r>
    </w:p>
    <w:p w:rsidR="00E4078C" w:rsidRDefault="009760CB">
      <w:pPr>
        <w:pStyle w:val="BodyTextFlush"/>
        <w:rPr>
          <w:sz w:val="20"/>
          <w:szCs w:val="20"/>
        </w:rPr>
      </w:pPr>
      <w:r>
        <w:rPr>
          <w:sz w:val="20"/>
          <w:szCs w:val="20"/>
        </w:rPr>
        <w:t xml:space="preserve">Surety companies executing bonds must possess a certificate of authority from the California Insurance Commissioner authorizing them to write surety insurance defined in California Insurance Code </w:t>
      </w:r>
      <w:r>
        <w:rPr>
          <w:sz w:val="20"/>
          <w:szCs w:val="20"/>
        </w:rPr>
        <w:t>section</w:t>
      </w:r>
      <w:r>
        <w:rPr>
          <w:sz w:val="20"/>
          <w:szCs w:val="20"/>
        </w:rPr>
        <w:t xml:space="preserve"> 105, and i</w:t>
      </w:r>
      <w:r>
        <w:rPr>
          <w:sz w:val="20"/>
          <w:szCs w:val="20"/>
        </w:rPr>
        <w:t>f the work or project is financed, in whole or in part, with federal, grant or loan funds, Surety’s name must also appear on the Treasury Department’s most current list (Circular 570 as amended).</w:t>
      </w:r>
    </w:p>
    <w:p w:rsidR="00E4078C" w:rsidRDefault="009760CB">
      <w:pPr>
        <w:pStyle w:val="BodyTextFlush"/>
        <w:rPr>
          <w:sz w:val="20"/>
          <w:szCs w:val="20"/>
        </w:rPr>
      </w:pPr>
      <w:r>
        <w:rPr>
          <w:sz w:val="20"/>
          <w:szCs w:val="20"/>
        </w:rPr>
        <w:t>Any claims under this bond may be addressed to:</w:t>
      </w:r>
    </w:p>
    <w:tbl>
      <w:tblPr>
        <w:tblW w:w="0" w:type="auto"/>
        <w:tblLook w:val="01E0" w:firstRow="1" w:lastRow="1" w:firstColumn="1" w:lastColumn="1" w:noHBand="0" w:noVBand="0"/>
      </w:tblPr>
      <w:tblGrid>
        <w:gridCol w:w="4787"/>
        <w:gridCol w:w="4789"/>
      </w:tblGrid>
      <w:tr w:rsidR="00C05B7A">
        <w:trPr>
          <w:cantSplit/>
        </w:trPr>
        <w:tc>
          <w:tcPr>
            <w:tcW w:w="4788" w:type="dxa"/>
            <w:shd w:val="clear" w:color="auto" w:fill="auto"/>
          </w:tcPr>
          <w:p w:rsidR="00E4078C" w:rsidRDefault="009760CB">
            <w:pPr>
              <w:spacing w:after="240"/>
              <w:jc w:val="both"/>
              <w:rPr>
                <w:sz w:val="20"/>
                <w:szCs w:val="20"/>
              </w:rPr>
            </w:pPr>
            <w:r>
              <w:rPr>
                <w:sz w:val="20"/>
                <w:szCs w:val="20"/>
              </w:rPr>
              <w:t xml:space="preserve">(Name and </w:t>
            </w:r>
            <w:r>
              <w:rPr>
                <w:sz w:val="20"/>
                <w:szCs w:val="20"/>
              </w:rPr>
              <w:t>Address of Surety)</w:t>
            </w:r>
          </w:p>
        </w:tc>
        <w:tc>
          <w:tcPr>
            <w:tcW w:w="4788" w:type="dxa"/>
            <w:shd w:val="clear" w:color="auto" w:fill="auto"/>
          </w:tcPr>
          <w:p w:rsidR="00E4078C" w:rsidRDefault="009760CB">
            <w:pPr>
              <w:spacing w:after="240"/>
              <w:jc w:val="both"/>
              <w:rPr>
                <w:sz w:val="20"/>
                <w:szCs w:val="20"/>
              </w:rPr>
            </w:pPr>
            <w:r>
              <w:rPr>
                <w:sz w:val="20"/>
                <w:szCs w:val="20"/>
              </w:rPr>
              <w:t>(Name and Address of agent or representative for service for service of process in California)</w:t>
            </w:r>
          </w:p>
        </w:tc>
      </w:tr>
      <w:tr w:rsidR="00C05B7A">
        <w:trPr>
          <w:cantSplit/>
        </w:trPr>
        <w:tc>
          <w:tcPr>
            <w:tcW w:w="4788" w:type="dxa"/>
            <w:shd w:val="clear" w:color="auto" w:fill="auto"/>
          </w:tcPr>
          <w:p w:rsidR="00E4078C" w:rsidRDefault="009760CB">
            <w:pPr>
              <w:tabs>
                <w:tab w:val="right" w:pos="4279"/>
              </w:tabs>
              <w:jc w:val="both"/>
              <w:rPr>
                <w:sz w:val="20"/>
                <w:szCs w:val="20"/>
              </w:rPr>
            </w:pPr>
            <w:r>
              <w:rPr>
                <w:sz w:val="20"/>
                <w:szCs w:val="20"/>
                <w:u w:val="single"/>
              </w:rPr>
              <w:tab/>
            </w:r>
            <w:r>
              <w:rPr>
                <w:sz w:val="20"/>
                <w:szCs w:val="20"/>
                <w:u w:val="single"/>
              </w:rPr>
              <w:br/>
            </w:r>
            <w:r>
              <w:rPr>
                <w:sz w:val="20"/>
                <w:szCs w:val="20"/>
                <w:u w:val="single"/>
              </w:rPr>
              <w:br/>
            </w:r>
            <w:r>
              <w:rPr>
                <w:sz w:val="20"/>
                <w:szCs w:val="20"/>
                <w:u w:val="single"/>
              </w:rPr>
              <w:tab/>
            </w:r>
            <w:r>
              <w:rPr>
                <w:sz w:val="20"/>
                <w:szCs w:val="20"/>
              </w:rPr>
              <w:br/>
            </w:r>
            <w:r>
              <w:rPr>
                <w:sz w:val="20"/>
                <w:szCs w:val="20"/>
              </w:rPr>
              <w:br/>
              <w:t>Telephone:</w:t>
            </w:r>
            <w:r>
              <w:rPr>
                <w:sz w:val="20"/>
                <w:szCs w:val="20"/>
                <w:u w:val="single"/>
              </w:rPr>
              <w:tab/>
            </w:r>
          </w:p>
        </w:tc>
        <w:tc>
          <w:tcPr>
            <w:tcW w:w="4788" w:type="dxa"/>
            <w:shd w:val="clear" w:color="auto" w:fill="auto"/>
          </w:tcPr>
          <w:p w:rsidR="00E4078C" w:rsidRDefault="009760CB">
            <w:pPr>
              <w:tabs>
                <w:tab w:val="right" w:pos="4572"/>
              </w:tabs>
              <w:jc w:val="both"/>
              <w:rPr>
                <w:sz w:val="20"/>
                <w:szCs w:val="20"/>
                <w:u w:val="single"/>
              </w:rPr>
            </w:pPr>
            <w:r>
              <w:rPr>
                <w:sz w:val="20"/>
                <w:szCs w:val="20"/>
                <w:u w:val="single"/>
              </w:rPr>
              <w:tab/>
            </w:r>
            <w:r>
              <w:rPr>
                <w:sz w:val="20"/>
                <w:szCs w:val="20"/>
              </w:rPr>
              <w:br/>
            </w:r>
            <w:r>
              <w:rPr>
                <w:sz w:val="20"/>
                <w:szCs w:val="20"/>
              </w:rPr>
              <w:br/>
            </w:r>
            <w:r>
              <w:rPr>
                <w:sz w:val="20"/>
                <w:szCs w:val="20"/>
                <w:u w:val="single"/>
              </w:rPr>
              <w:tab/>
            </w:r>
            <w:r>
              <w:rPr>
                <w:sz w:val="20"/>
                <w:szCs w:val="20"/>
              </w:rPr>
              <w:br/>
            </w:r>
            <w:r>
              <w:rPr>
                <w:sz w:val="20"/>
                <w:szCs w:val="20"/>
              </w:rPr>
              <w:br/>
              <w:t xml:space="preserve">Telephone:  </w:t>
            </w:r>
            <w:r>
              <w:rPr>
                <w:sz w:val="20"/>
                <w:szCs w:val="20"/>
                <w:u w:val="single"/>
              </w:rPr>
              <w:tab/>
            </w:r>
          </w:p>
        </w:tc>
      </w:tr>
    </w:tbl>
    <w:p w:rsidR="00E4078C" w:rsidRDefault="009760CB">
      <w:pPr>
        <w:jc w:val="both"/>
        <w:rPr>
          <w:sz w:val="20"/>
          <w:szCs w:val="20"/>
        </w:rPr>
      </w:pPr>
    </w:p>
    <w:p w:rsidR="00E4078C" w:rsidRDefault="009760CB">
      <w:pPr>
        <w:rPr>
          <w:sz w:val="20"/>
          <w:szCs w:val="20"/>
        </w:rPr>
      </w:pPr>
      <w:r>
        <w:rPr>
          <w:sz w:val="20"/>
          <w:szCs w:val="20"/>
        </w:rPr>
        <w:br w:type="page"/>
      </w:r>
    </w:p>
    <w:p w:rsidR="00DC071D" w:rsidRDefault="009760CB" w:rsidP="00DC071D">
      <w:pPr>
        <w:jc w:val="both"/>
        <w:rPr>
          <w:szCs w:val="22"/>
        </w:rPr>
      </w:pPr>
    </w:p>
    <w:p w:rsidR="00DC071D" w:rsidRPr="00DC071D" w:rsidRDefault="009760CB" w:rsidP="00DC071D">
      <w:pPr>
        <w:jc w:val="both"/>
        <w:rPr>
          <w:sz w:val="20"/>
          <w:szCs w:val="20"/>
        </w:rPr>
      </w:pPr>
    </w:p>
    <w:tbl>
      <w:tblPr>
        <w:tblStyle w:val="TableGrid"/>
        <w:tblW w:w="0" w:type="auto"/>
        <w:tblLook w:val="04A0" w:firstRow="1" w:lastRow="0" w:firstColumn="1" w:lastColumn="0" w:noHBand="0" w:noVBand="1"/>
      </w:tblPr>
      <w:tblGrid>
        <w:gridCol w:w="9576"/>
      </w:tblGrid>
      <w:tr w:rsidR="00C05B7A" w:rsidTr="003C236C">
        <w:tc>
          <w:tcPr>
            <w:tcW w:w="9576" w:type="dxa"/>
            <w:tcBorders>
              <w:top w:val="single" w:sz="4" w:space="0" w:color="auto"/>
              <w:left w:val="single" w:sz="4" w:space="0" w:color="auto"/>
              <w:bottom w:val="single" w:sz="4" w:space="0" w:color="auto"/>
              <w:right w:val="single" w:sz="4" w:space="0" w:color="auto"/>
            </w:tcBorders>
          </w:tcPr>
          <w:p w:rsidR="00DC071D" w:rsidRPr="00DC071D" w:rsidRDefault="009760CB" w:rsidP="003C236C">
            <w:pPr>
              <w:jc w:val="both"/>
              <w:rPr>
                <w:sz w:val="20"/>
                <w:szCs w:val="20"/>
              </w:rPr>
            </w:pPr>
            <w:r w:rsidRPr="00DC071D">
              <w:rPr>
                <w:sz w:val="20"/>
                <w:szCs w:val="20"/>
              </w:rPr>
              <w:t>A notary public or other office completing this certificate verifies only the identity of the ind</w:t>
            </w:r>
            <w:r w:rsidRPr="00DC071D">
              <w:rPr>
                <w:sz w:val="20"/>
                <w:szCs w:val="20"/>
              </w:rPr>
              <w:t>ividual who signed the document to which this certificate is attached, and not the truthfulness, accuracy, or validity of that document.</w:t>
            </w:r>
          </w:p>
        </w:tc>
      </w:tr>
    </w:tbl>
    <w:p w:rsidR="00DC071D" w:rsidRPr="00DC071D" w:rsidRDefault="009760CB" w:rsidP="00DC071D">
      <w:pPr>
        <w:jc w:val="both"/>
        <w:rPr>
          <w:sz w:val="20"/>
          <w:szCs w:val="20"/>
        </w:rPr>
      </w:pPr>
    </w:p>
    <w:p w:rsidR="00DC071D" w:rsidRPr="00DC071D" w:rsidRDefault="009760CB" w:rsidP="00DC071D">
      <w:pPr>
        <w:pStyle w:val="BodyTextFlush"/>
        <w:jc w:val="left"/>
        <w:rPr>
          <w:sz w:val="20"/>
          <w:szCs w:val="20"/>
        </w:rPr>
      </w:pPr>
      <w:r w:rsidRPr="00DC071D">
        <w:rPr>
          <w:sz w:val="20"/>
          <w:szCs w:val="20"/>
        </w:rPr>
        <w:t>STATE OF CALIFORNIA</w:t>
      </w:r>
      <w:r w:rsidRPr="00DC071D">
        <w:rPr>
          <w:sz w:val="20"/>
          <w:szCs w:val="20"/>
        </w:rPr>
        <w:tab/>
      </w:r>
      <w:r w:rsidRPr="00DC071D">
        <w:rPr>
          <w:sz w:val="20"/>
          <w:szCs w:val="20"/>
        </w:rPr>
        <w:tab/>
        <w:t>)</w:t>
      </w:r>
      <w:r w:rsidRPr="00DC071D">
        <w:rPr>
          <w:sz w:val="20"/>
          <w:szCs w:val="20"/>
        </w:rPr>
        <w:br/>
      </w:r>
      <w:r w:rsidRPr="00DC071D">
        <w:rPr>
          <w:sz w:val="20"/>
          <w:szCs w:val="20"/>
        </w:rPr>
        <w:tab/>
      </w:r>
      <w:r w:rsidRPr="00DC071D">
        <w:rPr>
          <w:sz w:val="20"/>
          <w:szCs w:val="20"/>
        </w:rPr>
        <w:tab/>
      </w:r>
      <w:r w:rsidRPr="00DC071D">
        <w:rPr>
          <w:sz w:val="20"/>
          <w:szCs w:val="20"/>
        </w:rPr>
        <w:tab/>
      </w:r>
      <w:r w:rsidRPr="00DC071D">
        <w:rPr>
          <w:sz w:val="20"/>
          <w:szCs w:val="20"/>
        </w:rPr>
        <w:tab/>
      </w:r>
      <w:r w:rsidRPr="00DC071D">
        <w:rPr>
          <w:sz w:val="20"/>
          <w:szCs w:val="20"/>
        </w:rPr>
        <w:tab/>
        <w:t>)  ss.</w:t>
      </w:r>
      <w:r w:rsidRPr="00DC071D">
        <w:rPr>
          <w:sz w:val="20"/>
          <w:szCs w:val="20"/>
        </w:rPr>
        <w:br/>
        <w:t>COUNTY OF</w:t>
      </w:r>
      <w:r w:rsidRPr="00DC071D">
        <w:rPr>
          <w:sz w:val="20"/>
          <w:szCs w:val="20"/>
        </w:rPr>
        <w:tab/>
      </w:r>
      <w:r w:rsidRPr="00DC071D">
        <w:rPr>
          <w:sz w:val="20"/>
          <w:szCs w:val="20"/>
        </w:rPr>
        <w:tab/>
      </w:r>
      <w:r w:rsidRPr="00DC071D">
        <w:rPr>
          <w:sz w:val="20"/>
          <w:szCs w:val="20"/>
        </w:rPr>
        <w:tab/>
      </w:r>
      <w:r w:rsidRPr="00DC071D">
        <w:rPr>
          <w:sz w:val="20"/>
          <w:szCs w:val="20"/>
        </w:rPr>
        <w:tab/>
        <w:t>)</w:t>
      </w:r>
    </w:p>
    <w:p w:rsidR="00DC071D" w:rsidRPr="00DC071D" w:rsidRDefault="009760CB" w:rsidP="00DC071D">
      <w:pPr>
        <w:pStyle w:val="BodyTextFirstIndent"/>
        <w:tabs>
          <w:tab w:val="left" w:pos="5760"/>
        </w:tabs>
        <w:ind w:firstLine="0"/>
        <w:rPr>
          <w:sz w:val="20"/>
          <w:szCs w:val="20"/>
        </w:rPr>
      </w:pPr>
      <w:r w:rsidRPr="00DC071D">
        <w:rPr>
          <w:sz w:val="20"/>
          <w:szCs w:val="20"/>
        </w:rPr>
        <w:t xml:space="preserve">On ___________________________, before me, </w:t>
      </w:r>
      <w:r w:rsidRPr="00DC071D">
        <w:rPr>
          <w:sz w:val="20"/>
          <w:szCs w:val="20"/>
        </w:rPr>
        <w:t>___________________________________________, personally appeared _________________________________, who proved on the basis of satisfactory evidence to be the person(s) whose name(s) is/are subscribed to the within instrument and acknowledged to me that he</w:t>
      </w:r>
      <w:r w:rsidRPr="00DC071D">
        <w:rPr>
          <w:sz w:val="20"/>
          <w:szCs w:val="20"/>
        </w:rPr>
        <w:t>/she/they executed the same in his/her/their authorized capacity(ies) as the Attorney-in-Fact of ____________________________ (Surety) and acknowledged to me that by his/her/their signature(s) on the instrument the person(s), or the entity upon behalf of w</w:t>
      </w:r>
      <w:r w:rsidRPr="00DC071D">
        <w:rPr>
          <w:sz w:val="20"/>
          <w:szCs w:val="20"/>
        </w:rPr>
        <w:t>hich the person(s) executed the instrument.</w:t>
      </w:r>
    </w:p>
    <w:p w:rsidR="00E4078C" w:rsidRDefault="009760CB" w:rsidP="00DC071D">
      <w:pPr>
        <w:pStyle w:val="BodyTextFirstIndent"/>
        <w:tabs>
          <w:tab w:val="left" w:pos="5760"/>
        </w:tabs>
        <w:ind w:firstLine="0"/>
        <w:rPr>
          <w:sz w:val="20"/>
          <w:szCs w:val="20"/>
        </w:rPr>
      </w:pPr>
      <w:r w:rsidRPr="00DC071D">
        <w:rPr>
          <w:sz w:val="20"/>
          <w:szCs w:val="20"/>
        </w:rPr>
        <w:t>I certify under PENALTY OF PERJURY under the laws of the State of California that the foregoing paragraph is true and correct</w:t>
      </w:r>
      <w:r>
        <w:rPr>
          <w:sz w:val="20"/>
          <w:szCs w:val="20"/>
        </w:rPr>
        <w:t>.</w:t>
      </w:r>
    </w:p>
    <w:p w:rsidR="00E4078C" w:rsidRDefault="009760CB">
      <w:pPr>
        <w:pStyle w:val="BodyTextFirstIndent"/>
        <w:tabs>
          <w:tab w:val="left" w:pos="5760"/>
        </w:tabs>
        <w:ind w:firstLine="0"/>
        <w:rPr>
          <w:sz w:val="20"/>
          <w:szCs w:val="20"/>
        </w:rPr>
      </w:pPr>
    </w:p>
    <w:p w:rsidR="00E4078C" w:rsidRDefault="009760CB">
      <w:pPr>
        <w:pStyle w:val="BodyTextFirstIndent"/>
        <w:tabs>
          <w:tab w:val="left" w:pos="5760"/>
        </w:tabs>
        <w:ind w:firstLine="0"/>
        <w:rPr>
          <w:sz w:val="20"/>
          <w:szCs w:val="20"/>
        </w:rPr>
      </w:pPr>
      <w:r>
        <w:rPr>
          <w:sz w:val="20"/>
          <w:szCs w:val="20"/>
        </w:rPr>
        <w:t>WITNESS my hand and official seal.</w:t>
      </w:r>
    </w:p>
    <w:tbl>
      <w:tblPr>
        <w:tblW w:w="0" w:type="auto"/>
        <w:tblLook w:val="01E0" w:firstRow="1" w:lastRow="1" w:firstColumn="1" w:lastColumn="1" w:noHBand="0" w:noVBand="0"/>
      </w:tblPr>
      <w:tblGrid>
        <w:gridCol w:w="4787"/>
        <w:gridCol w:w="4789"/>
      </w:tblGrid>
      <w:tr w:rsidR="00C05B7A">
        <w:trPr>
          <w:cantSplit/>
        </w:trPr>
        <w:tc>
          <w:tcPr>
            <w:tcW w:w="4787" w:type="dxa"/>
            <w:shd w:val="clear" w:color="auto" w:fill="auto"/>
          </w:tcPr>
          <w:p w:rsidR="00E4078C" w:rsidRDefault="009760CB">
            <w:pPr>
              <w:tabs>
                <w:tab w:val="right" w:pos="4279"/>
              </w:tabs>
              <w:spacing w:before="240"/>
              <w:rPr>
                <w:sz w:val="20"/>
                <w:szCs w:val="20"/>
              </w:rPr>
            </w:pPr>
            <w:r>
              <w:rPr>
                <w:sz w:val="20"/>
                <w:szCs w:val="20"/>
                <w:u w:val="single"/>
              </w:rPr>
              <w:tab/>
            </w:r>
            <w:r>
              <w:rPr>
                <w:sz w:val="20"/>
                <w:szCs w:val="20"/>
                <w:u w:val="single"/>
              </w:rPr>
              <w:br/>
            </w:r>
            <w:r>
              <w:rPr>
                <w:sz w:val="20"/>
                <w:szCs w:val="20"/>
              </w:rPr>
              <w:t>Notary Public in and for said State</w:t>
            </w:r>
            <w:r>
              <w:rPr>
                <w:sz w:val="20"/>
                <w:szCs w:val="20"/>
                <w:u w:val="single"/>
              </w:rPr>
              <w:br/>
            </w:r>
            <w:r>
              <w:rPr>
                <w:sz w:val="20"/>
                <w:szCs w:val="20"/>
              </w:rPr>
              <w:br/>
              <w:t>Commission</w:t>
            </w:r>
            <w:r>
              <w:rPr>
                <w:sz w:val="20"/>
                <w:szCs w:val="20"/>
              </w:rPr>
              <w:t xml:space="preserve"> expires:</w:t>
            </w:r>
            <w:r>
              <w:rPr>
                <w:sz w:val="20"/>
                <w:szCs w:val="20"/>
                <w:u w:val="single"/>
              </w:rPr>
              <w:tab/>
            </w:r>
          </w:p>
        </w:tc>
        <w:tc>
          <w:tcPr>
            <w:tcW w:w="4789" w:type="dxa"/>
            <w:shd w:val="clear" w:color="auto" w:fill="auto"/>
          </w:tcPr>
          <w:p w:rsidR="00E4078C" w:rsidRDefault="009760CB">
            <w:pPr>
              <w:tabs>
                <w:tab w:val="right" w:pos="4572"/>
              </w:tabs>
              <w:spacing w:before="240"/>
              <w:ind w:left="2413"/>
              <w:jc w:val="both"/>
              <w:rPr>
                <w:sz w:val="20"/>
                <w:szCs w:val="20"/>
              </w:rPr>
            </w:pPr>
            <w:r>
              <w:rPr>
                <w:sz w:val="20"/>
                <w:szCs w:val="20"/>
              </w:rPr>
              <w:t>(SEAL)</w:t>
            </w:r>
          </w:p>
        </w:tc>
      </w:tr>
    </w:tbl>
    <w:p w:rsidR="00E4078C" w:rsidRDefault="009760CB">
      <w:pPr>
        <w:jc w:val="both"/>
        <w:rPr>
          <w:sz w:val="20"/>
          <w:szCs w:val="20"/>
        </w:rPr>
      </w:pPr>
    </w:p>
    <w:p w:rsidR="00E4078C" w:rsidRDefault="009760CB">
      <w:pPr>
        <w:pStyle w:val="BodyTextFlush"/>
        <w:rPr>
          <w:sz w:val="20"/>
          <w:szCs w:val="20"/>
        </w:rPr>
      </w:pPr>
    </w:p>
    <w:p w:rsidR="00E4078C" w:rsidRDefault="009760CB">
      <w:pPr>
        <w:pStyle w:val="BodyTextFlush"/>
        <w:spacing w:before="200"/>
        <w:rPr>
          <w:sz w:val="20"/>
          <w:szCs w:val="20"/>
        </w:rPr>
      </w:pPr>
      <w:r>
        <w:rPr>
          <w:sz w:val="20"/>
          <w:szCs w:val="20"/>
        </w:rPr>
        <w:t>NOTE:</w:t>
      </w:r>
      <w:r>
        <w:rPr>
          <w:sz w:val="20"/>
          <w:szCs w:val="20"/>
        </w:rPr>
        <w:tab/>
        <w:t>A copy of the power-of-attorney to local representatives of the bonding company must be attached hereto.</w:t>
      </w:r>
    </w:p>
    <w:p w:rsidR="00E4078C" w:rsidRDefault="009760CB">
      <w:pPr>
        <w:pStyle w:val="Title"/>
        <w:spacing w:before="200"/>
        <w:rPr>
          <w:sz w:val="20"/>
          <w:szCs w:val="20"/>
        </w:rPr>
      </w:pPr>
      <w:r>
        <w:rPr>
          <w:sz w:val="20"/>
          <w:szCs w:val="20"/>
        </w:rPr>
        <w:br w:type="page"/>
      </w:r>
      <w:bookmarkStart w:id="281" w:name="_Toc365549878"/>
      <w:r>
        <w:rPr>
          <w:sz w:val="20"/>
          <w:szCs w:val="20"/>
        </w:rPr>
        <w:lastRenderedPageBreak/>
        <w:t>EXHIBIT “F”</w:t>
      </w:r>
      <w:bookmarkEnd w:id="281"/>
    </w:p>
    <w:p w:rsidR="00E4078C" w:rsidRDefault="009760CB">
      <w:pPr>
        <w:pStyle w:val="Title"/>
        <w:spacing w:before="200"/>
        <w:rPr>
          <w:sz w:val="20"/>
          <w:szCs w:val="20"/>
        </w:rPr>
      </w:pPr>
      <w:bookmarkStart w:id="282" w:name="_Toc365549879"/>
      <w:r>
        <w:rPr>
          <w:sz w:val="20"/>
          <w:szCs w:val="20"/>
        </w:rPr>
        <w:t>CONTRACTOR FINGERPRINTING REQUIREMENTS</w:t>
      </w:r>
      <w:bookmarkEnd w:id="282"/>
    </w:p>
    <w:p w:rsidR="00E4078C" w:rsidRDefault="009760CB">
      <w:pPr>
        <w:pStyle w:val="BodyTextFlush"/>
        <w:spacing w:before="200"/>
        <w:rPr>
          <w:sz w:val="20"/>
          <w:szCs w:val="20"/>
        </w:rPr>
      </w:pPr>
      <w:r>
        <w:rPr>
          <w:sz w:val="20"/>
          <w:szCs w:val="20"/>
        </w:rPr>
        <w:t>CONTRACTOR CERTIFICATION</w:t>
      </w:r>
    </w:p>
    <w:p w:rsidR="00E4078C" w:rsidRDefault="009760CB">
      <w:pPr>
        <w:pStyle w:val="BodyTextFirstIndent"/>
        <w:spacing w:before="200"/>
        <w:rPr>
          <w:sz w:val="20"/>
          <w:szCs w:val="20"/>
        </w:rPr>
      </w:pPr>
      <w:r>
        <w:rPr>
          <w:sz w:val="20"/>
          <w:szCs w:val="20"/>
        </w:rPr>
        <w:t xml:space="preserve">With respect to the Contract dated ________________ 20___ by and between the </w:t>
      </w:r>
      <w:r>
        <w:rPr>
          <w:sz w:val="20"/>
          <w:szCs w:val="20"/>
        </w:rPr>
        <w:t xml:space="preserve">Woodland Joint Unified </w:t>
      </w:r>
      <w:r>
        <w:rPr>
          <w:sz w:val="20"/>
          <w:szCs w:val="20"/>
        </w:rPr>
        <w:t>School District (“District”) and _______________________________ (“Contractor”) Contractor hereby certifies to the District’s governing board that it has co</w:t>
      </w:r>
      <w:r>
        <w:rPr>
          <w:sz w:val="20"/>
          <w:szCs w:val="20"/>
        </w:rPr>
        <w:t>mpleted the criminal background check requirements of Education Code section 45125.1 and that none of its employees that may</w:t>
      </w:r>
      <w:r>
        <w:rPr>
          <w:sz w:val="20"/>
          <w:szCs w:val="20"/>
        </w:rPr>
        <w:t xml:space="preserve"> come in contact with District’</w:t>
      </w:r>
      <w:r>
        <w:rPr>
          <w:sz w:val="20"/>
          <w:szCs w:val="20"/>
        </w:rPr>
        <w:t>s pupils have been convicted of a violent felony listed in Penal Code section 667.5(c) or a serious f</w:t>
      </w:r>
      <w:r>
        <w:rPr>
          <w:sz w:val="20"/>
          <w:szCs w:val="20"/>
        </w:rPr>
        <w:t>elony listed in Penal Code section 1192.7(c).</w:t>
      </w:r>
    </w:p>
    <w:p w:rsidR="00E4078C" w:rsidRDefault="009760CB">
      <w:pPr>
        <w:pStyle w:val="BodyTextFlush"/>
        <w:spacing w:before="200"/>
        <w:rPr>
          <w:sz w:val="20"/>
          <w:szCs w:val="20"/>
        </w:rPr>
      </w:pPr>
      <w:r>
        <w:rPr>
          <w:sz w:val="20"/>
          <w:szCs w:val="20"/>
        </w:rPr>
        <w:t xml:space="preserve">Contractor’s Representative </w:t>
      </w:r>
      <w:r>
        <w:rPr>
          <w:sz w:val="20"/>
          <w:szCs w:val="20"/>
        </w:rPr>
        <w:tab/>
      </w:r>
      <w:r>
        <w:rPr>
          <w:sz w:val="20"/>
          <w:szCs w:val="20"/>
          <w:u w:val="single"/>
        </w:rPr>
        <w:tab/>
      </w:r>
      <w:r>
        <w:rPr>
          <w:sz w:val="20"/>
          <w:szCs w:val="20"/>
          <w:u w:val="single"/>
        </w:rPr>
        <w:tab/>
      </w:r>
      <w:r>
        <w:rPr>
          <w:sz w:val="20"/>
          <w:szCs w:val="20"/>
          <w:u w:val="single"/>
        </w:rPr>
        <w:tab/>
      </w:r>
      <w:r>
        <w:rPr>
          <w:sz w:val="20"/>
          <w:szCs w:val="20"/>
          <w:u w:val="single"/>
        </w:rPr>
        <w:tab/>
      </w:r>
    </w:p>
    <w:p w:rsidR="00E4078C" w:rsidRDefault="009760CB">
      <w:pPr>
        <w:pStyle w:val="BodyTextFlush"/>
        <w:spacing w:before="200"/>
        <w:rPr>
          <w:sz w:val="20"/>
          <w:szCs w:val="20"/>
        </w:rPr>
      </w:pPr>
      <w:r>
        <w:rPr>
          <w:sz w:val="20"/>
          <w:szCs w:val="20"/>
        </w:rPr>
        <w:t>Date:</w:t>
      </w:r>
      <w:r>
        <w:rPr>
          <w:sz w:val="20"/>
          <w:szCs w:val="20"/>
        </w:rPr>
        <w:tab/>
      </w:r>
      <w:r>
        <w:rPr>
          <w:sz w:val="20"/>
          <w:szCs w:val="20"/>
        </w:rPr>
        <w:tab/>
      </w:r>
      <w:r>
        <w:rPr>
          <w:sz w:val="20"/>
          <w:szCs w:val="20"/>
        </w:rPr>
        <w:tab/>
      </w:r>
      <w:r>
        <w:rPr>
          <w:sz w:val="20"/>
          <w:szCs w:val="20"/>
        </w:rPr>
        <w:tab/>
      </w:r>
      <w:r>
        <w:rPr>
          <w:sz w:val="20"/>
          <w:szCs w:val="20"/>
          <w:u w:val="single"/>
        </w:rPr>
        <w:tab/>
      </w:r>
      <w:r>
        <w:rPr>
          <w:sz w:val="20"/>
          <w:szCs w:val="20"/>
          <w:u w:val="single"/>
        </w:rPr>
        <w:tab/>
      </w:r>
      <w:r>
        <w:rPr>
          <w:sz w:val="20"/>
          <w:szCs w:val="20"/>
          <w:u w:val="single"/>
        </w:rPr>
        <w:tab/>
      </w:r>
      <w:r>
        <w:rPr>
          <w:sz w:val="20"/>
          <w:szCs w:val="20"/>
          <w:u w:val="single"/>
        </w:rPr>
        <w:tab/>
      </w:r>
    </w:p>
    <w:p w:rsidR="00E4078C" w:rsidRDefault="009760CB">
      <w:pPr>
        <w:pStyle w:val="BodyTextFlush"/>
        <w:spacing w:before="200"/>
        <w:rPr>
          <w:sz w:val="20"/>
          <w:szCs w:val="20"/>
        </w:rPr>
      </w:pPr>
      <w:r>
        <w:rPr>
          <w:sz w:val="20"/>
          <w:szCs w:val="20"/>
        </w:rPr>
        <w:t>CONTRACTOR EXEMPTION</w:t>
      </w:r>
    </w:p>
    <w:p w:rsidR="00E4078C" w:rsidRDefault="009760CB">
      <w:pPr>
        <w:pStyle w:val="BodyTextFirstIndent"/>
        <w:spacing w:before="200"/>
        <w:rPr>
          <w:sz w:val="20"/>
          <w:szCs w:val="20"/>
        </w:rPr>
      </w:pPr>
      <w:r>
        <w:rPr>
          <w:sz w:val="20"/>
          <w:szCs w:val="20"/>
        </w:rPr>
        <w:t xml:space="preserve">Pursuant to Education Code sections 45125.1 and 45125.2, the </w:t>
      </w:r>
      <w:r>
        <w:rPr>
          <w:sz w:val="20"/>
          <w:szCs w:val="20"/>
        </w:rPr>
        <w:t xml:space="preserve">Woodland Joint Unified </w:t>
      </w:r>
      <w:r>
        <w:rPr>
          <w:sz w:val="20"/>
          <w:szCs w:val="20"/>
        </w:rPr>
        <w:t>School District (“District”) as determined that _________</w:t>
      </w:r>
      <w:r>
        <w:rPr>
          <w:sz w:val="20"/>
          <w:szCs w:val="20"/>
        </w:rPr>
        <w:t xml:space="preserve">_______________ (“Contractor”) </w:t>
      </w:r>
      <w:r>
        <w:rPr>
          <w:sz w:val="20"/>
          <w:szCs w:val="20"/>
        </w:rPr>
        <w:t>i</w:t>
      </w:r>
      <w:r>
        <w:rPr>
          <w:sz w:val="20"/>
          <w:szCs w:val="20"/>
        </w:rPr>
        <w:t>s exempt from the criminal background check certification requirements for the contract dated ________________ 20____ by and between the District and Contractor (“Contract”</w:t>
      </w:r>
      <w:r>
        <w:rPr>
          <w:sz w:val="20"/>
          <w:szCs w:val="20"/>
        </w:rPr>
        <w:t>)</w:t>
      </w:r>
      <w:r>
        <w:rPr>
          <w:sz w:val="20"/>
          <w:szCs w:val="20"/>
        </w:rPr>
        <w:t xml:space="preserve"> because:</w:t>
      </w:r>
    </w:p>
    <w:p w:rsidR="00E4078C" w:rsidRDefault="009760CB">
      <w:pPr>
        <w:pStyle w:val="BodyTextFlush"/>
        <w:spacing w:before="200"/>
        <w:ind w:left="1440" w:hanging="720"/>
        <w:rPr>
          <w:sz w:val="20"/>
          <w:szCs w:val="20"/>
        </w:rPr>
      </w:pPr>
      <w:r>
        <w:rPr>
          <w:sz w:val="20"/>
          <w:szCs w:val="20"/>
        </w:rPr>
        <w:t></w:t>
      </w:r>
      <w:r>
        <w:rPr>
          <w:sz w:val="20"/>
          <w:szCs w:val="20"/>
        </w:rPr>
        <w:tab/>
        <w:t>The Contractor’s employees will have li</w:t>
      </w:r>
      <w:r>
        <w:rPr>
          <w:sz w:val="20"/>
          <w:szCs w:val="20"/>
        </w:rPr>
        <w:t>mited contact with District students during the course of the Contract;</w:t>
      </w:r>
    </w:p>
    <w:p w:rsidR="00E4078C" w:rsidRDefault="009760CB">
      <w:pPr>
        <w:pStyle w:val="BodyTextFlush"/>
        <w:spacing w:before="200"/>
        <w:ind w:left="1440" w:hanging="720"/>
        <w:rPr>
          <w:sz w:val="20"/>
          <w:szCs w:val="20"/>
        </w:rPr>
      </w:pPr>
      <w:r>
        <w:rPr>
          <w:sz w:val="20"/>
          <w:szCs w:val="20"/>
        </w:rPr>
        <w:t></w:t>
      </w:r>
      <w:r>
        <w:rPr>
          <w:sz w:val="20"/>
          <w:szCs w:val="20"/>
        </w:rPr>
        <w:tab/>
        <w:t>Emergency or exceptional circumstances exist; or</w:t>
      </w:r>
    </w:p>
    <w:p w:rsidR="008766EF" w:rsidRDefault="009760CB" w:rsidP="008766EF">
      <w:pPr>
        <w:pStyle w:val="BodyTextFlush"/>
        <w:spacing w:before="200"/>
        <w:ind w:left="1440" w:hanging="720"/>
        <w:rPr>
          <w:sz w:val="20"/>
          <w:szCs w:val="20"/>
        </w:rPr>
      </w:pPr>
      <w:r>
        <w:rPr>
          <w:sz w:val="20"/>
          <w:szCs w:val="20"/>
        </w:rPr>
        <w:t></w:t>
      </w:r>
      <w:r>
        <w:rPr>
          <w:sz w:val="20"/>
          <w:szCs w:val="20"/>
        </w:rPr>
        <w:tab/>
        <w:t>With respect to Contractors constructing, reconstructing, rehabilitating or repairing a school facility, as provided in Section 451</w:t>
      </w:r>
      <w:r>
        <w:rPr>
          <w:sz w:val="20"/>
          <w:szCs w:val="20"/>
        </w:rPr>
        <w:t>25.2, the Contractor has agreed to ensure the safety of pupils at the school facility by the following method(s) specified in Section 45125.2:</w:t>
      </w:r>
    </w:p>
    <w:p w:rsidR="008766EF" w:rsidRPr="005052E0" w:rsidRDefault="009760CB" w:rsidP="008766EF">
      <w:pPr>
        <w:pStyle w:val="BodyTextFlush"/>
        <w:spacing w:before="200"/>
        <w:ind w:left="1440"/>
        <w:rPr>
          <w:sz w:val="20"/>
          <w:szCs w:val="20"/>
        </w:rPr>
      </w:pPr>
      <w:r>
        <w:rPr>
          <w:sz w:val="20"/>
          <w:szCs w:val="20"/>
        </w:rPr>
        <w:t></w:t>
      </w:r>
      <w:r>
        <w:rPr>
          <w:sz w:val="20"/>
          <w:szCs w:val="20"/>
        </w:rPr>
        <w:tab/>
      </w:r>
      <w:r w:rsidRPr="005052E0">
        <w:rPr>
          <w:sz w:val="20"/>
          <w:szCs w:val="20"/>
        </w:rPr>
        <w:t>The installation of a physical barrier at the worksite to limit contact with pupils.</w:t>
      </w:r>
    </w:p>
    <w:p w:rsidR="008766EF" w:rsidRPr="005052E0" w:rsidRDefault="009760CB" w:rsidP="008766EF">
      <w:pPr>
        <w:pStyle w:val="BodyTextFlush"/>
        <w:spacing w:before="200"/>
        <w:ind w:left="2160" w:hanging="720"/>
        <w:rPr>
          <w:sz w:val="20"/>
          <w:szCs w:val="20"/>
        </w:rPr>
      </w:pPr>
      <w:r>
        <w:rPr>
          <w:sz w:val="20"/>
          <w:szCs w:val="20"/>
        </w:rPr>
        <w:t></w:t>
      </w:r>
      <w:r>
        <w:rPr>
          <w:sz w:val="20"/>
          <w:szCs w:val="20"/>
        </w:rPr>
        <w:tab/>
      </w:r>
      <w:r w:rsidRPr="005052E0">
        <w:rPr>
          <w:sz w:val="20"/>
          <w:szCs w:val="20"/>
        </w:rPr>
        <w:t xml:space="preserve">Continual supervision </w:t>
      </w:r>
      <w:r w:rsidRPr="005052E0">
        <w:rPr>
          <w:sz w:val="20"/>
          <w:szCs w:val="20"/>
        </w:rPr>
        <w:t>and monitoring of all employees of the entity by an employee of the entity whom the Department of Justice has ascertained has not been convicted of a violent or serious felony.</w:t>
      </w:r>
    </w:p>
    <w:p w:rsidR="008766EF" w:rsidRDefault="009760CB" w:rsidP="008766EF">
      <w:pPr>
        <w:pStyle w:val="BodyTextFlush"/>
        <w:spacing w:before="200"/>
        <w:ind w:left="1440"/>
        <w:rPr>
          <w:sz w:val="20"/>
          <w:szCs w:val="20"/>
        </w:rPr>
      </w:pPr>
    </w:p>
    <w:p w:rsidR="008766EF" w:rsidRDefault="009760CB" w:rsidP="008766EF">
      <w:pPr>
        <w:pStyle w:val="BodyTextFlush"/>
        <w:spacing w:before="200"/>
        <w:rPr>
          <w:sz w:val="20"/>
          <w:szCs w:val="20"/>
        </w:rPr>
      </w:pPr>
      <w:r>
        <w:rPr>
          <w:sz w:val="20"/>
          <w:szCs w:val="20"/>
        </w:rPr>
        <w:t>School District Official:</w:t>
      </w:r>
      <w:r>
        <w:rPr>
          <w:sz w:val="20"/>
          <w:szCs w:val="20"/>
        </w:rPr>
        <w:tab/>
      </w:r>
      <w:r>
        <w:rPr>
          <w:sz w:val="20"/>
          <w:szCs w:val="20"/>
        </w:rPr>
        <w:tab/>
      </w:r>
      <w:r>
        <w:rPr>
          <w:sz w:val="20"/>
          <w:szCs w:val="20"/>
          <w:u w:val="single"/>
        </w:rPr>
        <w:tab/>
      </w:r>
      <w:r>
        <w:rPr>
          <w:sz w:val="20"/>
          <w:szCs w:val="20"/>
          <w:u w:val="single"/>
        </w:rPr>
        <w:tab/>
      </w:r>
      <w:r>
        <w:rPr>
          <w:sz w:val="20"/>
          <w:szCs w:val="20"/>
          <w:u w:val="single"/>
        </w:rPr>
        <w:tab/>
      </w:r>
      <w:r>
        <w:rPr>
          <w:sz w:val="20"/>
          <w:szCs w:val="20"/>
          <w:u w:val="single"/>
        </w:rPr>
        <w:tab/>
      </w:r>
    </w:p>
    <w:p w:rsidR="008766EF" w:rsidRDefault="009760CB" w:rsidP="008766EF">
      <w:pPr>
        <w:pStyle w:val="BodyTextFlush"/>
        <w:spacing w:before="200"/>
        <w:rPr>
          <w:sz w:val="20"/>
          <w:szCs w:val="20"/>
        </w:rPr>
      </w:pPr>
      <w:r>
        <w:rPr>
          <w:sz w:val="20"/>
          <w:szCs w:val="20"/>
        </w:rPr>
        <w:t>Date:</w:t>
      </w:r>
      <w:r>
        <w:rPr>
          <w:sz w:val="20"/>
          <w:szCs w:val="20"/>
        </w:rPr>
        <w:tab/>
      </w:r>
      <w:r>
        <w:rPr>
          <w:sz w:val="20"/>
          <w:szCs w:val="20"/>
        </w:rPr>
        <w:tab/>
      </w:r>
      <w:r>
        <w:rPr>
          <w:sz w:val="20"/>
          <w:szCs w:val="20"/>
        </w:rPr>
        <w:tab/>
      </w:r>
      <w:r>
        <w:rPr>
          <w:sz w:val="20"/>
          <w:szCs w:val="20"/>
        </w:rPr>
        <w:tab/>
      </w:r>
      <w:r>
        <w:rPr>
          <w:sz w:val="20"/>
          <w:szCs w:val="20"/>
          <w:u w:val="single"/>
        </w:rPr>
        <w:tab/>
      </w:r>
      <w:r>
        <w:rPr>
          <w:sz w:val="20"/>
          <w:szCs w:val="20"/>
          <w:u w:val="single"/>
        </w:rPr>
        <w:tab/>
      </w:r>
      <w:r>
        <w:rPr>
          <w:sz w:val="20"/>
          <w:szCs w:val="20"/>
          <w:u w:val="single"/>
        </w:rPr>
        <w:tab/>
      </w:r>
      <w:r>
        <w:rPr>
          <w:sz w:val="20"/>
          <w:szCs w:val="20"/>
          <w:u w:val="single"/>
        </w:rPr>
        <w:tab/>
      </w:r>
    </w:p>
    <w:p w:rsidR="00E4078C" w:rsidRDefault="009760CB" w:rsidP="008766EF">
      <w:pPr>
        <w:pStyle w:val="BodyTextFlush"/>
        <w:spacing w:before="200"/>
        <w:rPr>
          <w:sz w:val="20"/>
          <w:szCs w:val="20"/>
        </w:rPr>
      </w:pPr>
    </w:p>
    <w:p w:rsidR="00E4078C" w:rsidRDefault="009760CB">
      <w:pPr>
        <w:pStyle w:val="Title"/>
        <w:spacing w:before="200"/>
        <w:rPr>
          <w:sz w:val="20"/>
          <w:szCs w:val="20"/>
        </w:rPr>
      </w:pPr>
      <w:r>
        <w:rPr>
          <w:sz w:val="20"/>
          <w:szCs w:val="20"/>
        </w:rPr>
        <w:br w:type="page"/>
      </w:r>
      <w:bookmarkStart w:id="283" w:name="_Toc365549880"/>
      <w:r>
        <w:rPr>
          <w:sz w:val="20"/>
          <w:szCs w:val="20"/>
        </w:rPr>
        <w:lastRenderedPageBreak/>
        <w:t>EXHIBIT “F” (CONT.)</w:t>
      </w:r>
      <w:bookmarkEnd w:id="283"/>
    </w:p>
    <w:p w:rsidR="00E4078C" w:rsidRDefault="009760CB">
      <w:pPr>
        <w:pStyle w:val="Title"/>
        <w:spacing w:before="200"/>
        <w:rPr>
          <w:sz w:val="20"/>
          <w:szCs w:val="20"/>
        </w:rPr>
      </w:pPr>
      <w:bookmarkStart w:id="284" w:name="_Toc365549881"/>
      <w:r>
        <w:rPr>
          <w:sz w:val="20"/>
          <w:szCs w:val="20"/>
        </w:rPr>
        <w:t>SUBCONTRAC</w:t>
      </w:r>
      <w:r>
        <w:rPr>
          <w:sz w:val="20"/>
          <w:szCs w:val="20"/>
        </w:rPr>
        <w:t>TOR FINGERPRINTING REQUIREMENTS</w:t>
      </w:r>
      <w:bookmarkEnd w:id="284"/>
    </w:p>
    <w:p w:rsidR="00E4078C" w:rsidRDefault="009760CB">
      <w:pPr>
        <w:pStyle w:val="BodyTextFlush"/>
        <w:spacing w:before="200"/>
        <w:rPr>
          <w:sz w:val="20"/>
          <w:szCs w:val="20"/>
        </w:rPr>
      </w:pPr>
      <w:r>
        <w:rPr>
          <w:sz w:val="20"/>
          <w:szCs w:val="20"/>
        </w:rPr>
        <w:t>SUBCONTRACTOR’S CERTIFICATION</w:t>
      </w:r>
    </w:p>
    <w:p w:rsidR="00E4078C" w:rsidRDefault="009760CB">
      <w:pPr>
        <w:pStyle w:val="BodyTextFirstIndent"/>
        <w:spacing w:before="200"/>
        <w:rPr>
          <w:sz w:val="20"/>
          <w:szCs w:val="20"/>
        </w:rPr>
      </w:pPr>
      <w:r>
        <w:rPr>
          <w:sz w:val="20"/>
          <w:szCs w:val="20"/>
        </w:rPr>
        <w:t xml:space="preserve">The </w:t>
      </w:r>
      <w:r>
        <w:rPr>
          <w:sz w:val="20"/>
          <w:szCs w:val="20"/>
        </w:rPr>
        <w:t xml:space="preserve">Woodland Joint Unified </w:t>
      </w:r>
      <w:r>
        <w:rPr>
          <w:sz w:val="20"/>
          <w:szCs w:val="20"/>
        </w:rPr>
        <w:t>School District (“District”</w:t>
      </w:r>
      <w:r>
        <w:rPr>
          <w:sz w:val="20"/>
          <w:szCs w:val="20"/>
        </w:rPr>
        <w:t>)</w:t>
      </w:r>
      <w:r>
        <w:rPr>
          <w:sz w:val="20"/>
          <w:szCs w:val="20"/>
        </w:rPr>
        <w:t xml:space="preserve"> entered into a contract for services with _____________________________ (“Contractor”</w:t>
      </w:r>
      <w:r>
        <w:rPr>
          <w:sz w:val="20"/>
          <w:szCs w:val="20"/>
        </w:rPr>
        <w:t>)</w:t>
      </w:r>
      <w:r>
        <w:rPr>
          <w:sz w:val="20"/>
          <w:szCs w:val="20"/>
        </w:rPr>
        <w:t xml:space="preserve"> on or about ___________________, 20____ (“Contract”</w:t>
      </w:r>
      <w:r>
        <w:rPr>
          <w:sz w:val="20"/>
          <w:szCs w:val="20"/>
        </w:rPr>
        <w:t>)</w:t>
      </w:r>
      <w:r>
        <w:rPr>
          <w:sz w:val="20"/>
          <w:szCs w:val="20"/>
        </w:rPr>
        <w:t>.  This certification is submitted by  _____________________________, a subcontractor to the Contractor for purposes of that Contract (“Subcontractor”</w:t>
      </w:r>
      <w:r>
        <w:rPr>
          <w:sz w:val="20"/>
          <w:szCs w:val="20"/>
        </w:rPr>
        <w:t>)</w:t>
      </w:r>
      <w:r>
        <w:rPr>
          <w:sz w:val="20"/>
          <w:szCs w:val="20"/>
        </w:rPr>
        <w:t>.  Subcontractor hereby certifies to the District’s governing board that it has completed the criminal b</w:t>
      </w:r>
      <w:r>
        <w:rPr>
          <w:sz w:val="20"/>
          <w:szCs w:val="20"/>
        </w:rPr>
        <w:t>ackground check requirements of Education Code section 45125.1 and that none of its employees that may come in contact with District pupils have been convicted of a violent felony listed in Penal Code section 667.5(c) or a serious felony listed in Penal Co</w:t>
      </w:r>
      <w:r>
        <w:rPr>
          <w:sz w:val="20"/>
          <w:szCs w:val="20"/>
        </w:rPr>
        <w:t>de section 1192.7(c).</w:t>
      </w:r>
    </w:p>
    <w:p w:rsidR="00E4078C" w:rsidRDefault="009760CB">
      <w:pPr>
        <w:pStyle w:val="BodyTextFlush"/>
        <w:spacing w:before="200"/>
        <w:rPr>
          <w:sz w:val="20"/>
          <w:szCs w:val="20"/>
        </w:rPr>
      </w:pPr>
      <w:r>
        <w:rPr>
          <w:sz w:val="20"/>
          <w:szCs w:val="20"/>
        </w:rPr>
        <w:t>Subcontractor’s Representative:</w:t>
      </w:r>
      <w:r>
        <w:rPr>
          <w:sz w:val="20"/>
          <w:szCs w:val="20"/>
        </w:rPr>
        <w:tab/>
      </w:r>
      <w:r>
        <w:rPr>
          <w:sz w:val="20"/>
          <w:szCs w:val="20"/>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p>
    <w:p w:rsidR="00E4078C" w:rsidRDefault="009760CB">
      <w:pPr>
        <w:pStyle w:val="BodyTextFlush"/>
        <w:spacing w:before="200"/>
        <w:rPr>
          <w:sz w:val="20"/>
          <w:szCs w:val="20"/>
        </w:rPr>
      </w:pPr>
      <w:r>
        <w:rPr>
          <w:sz w:val="20"/>
          <w:szCs w:val="20"/>
        </w:rPr>
        <w:t>Date:</w:t>
      </w:r>
      <w:r>
        <w:rPr>
          <w:sz w:val="20"/>
          <w:szCs w:val="20"/>
        </w:rPr>
        <w:tab/>
      </w:r>
      <w:r>
        <w:rPr>
          <w:sz w:val="20"/>
          <w:szCs w:val="20"/>
        </w:rPr>
        <w:tab/>
      </w:r>
      <w:r>
        <w:rPr>
          <w:sz w:val="20"/>
          <w:szCs w:val="20"/>
        </w:rPr>
        <w:tab/>
      </w:r>
      <w:r>
        <w:rPr>
          <w:sz w:val="20"/>
          <w:szCs w:val="20"/>
        </w:rPr>
        <w:tab/>
      </w:r>
      <w:r>
        <w:rPr>
          <w:sz w:val="20"/>
          <w:szCs w:val="20"/>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p>
    <w:p w:rsidR="00E4078C" w:rsidRDefault="009760CB">
      <w:pPr>
        <w:pStyle w:val="BodyTextFlush"/>
        <w:spacing w:before="200"/>
        <w:rPr>
          <w:sz w:val="20"/>
          <w:szCs w:val="20"/>
        </w:rPr>
      </w:pPr>
      <w:r>
        <w:rPr>
          <w:sz w:val="20"/>
          <w:szCs w:val="20"/>
        </w:rPr>
        <w:t>SUBCONTRACTOR’S EXEMPTION</w:t>
      </w:r>
    </w:p>
    <w:p w:rsidR="00E4078C" w:rsidRDefault="009760CB">
      <w:pPr>
        <w:pStyle w:val="BodyTextFirstIndent"/>
        <w:spacing w:before="200"/>
        <w:rPr>
          <w:sz w:val="20"/>
          <w:szCs w:val="20"/>
        </w:rPr>
      </w:pPr>
      <w:r>
        <w:rPr>
          <w:sz w:val="20"/>
          <w:szCs w:val="20"/>
        </w:rPr>
        <w:t xml:space="preserve">The </w:t>
      </w:r>
      <w:r>
        <w:rPr>
          <w:sz w:val="20"/>
          <w:szCs w:val="20"/>
        </w:rPr>
        <w:t xml:space="preserve">Woodland Joint Unified </w:t>
      </w:r>
      <w:r>
        <w:rPr>
          <w:sz w:val="20"/>
          <w:szCs w:val="20"/>
        </w:rPr>
        <w:t>School District (“District”</w:t>
      </w:r>
      <w:r>
        <w:rPr>
          <w:sz w:val="20"/>
          <w:szCs w:val="20"/>
        </w:rPr>
        <w:t>)</w:t>
      </w:r>
      <w:r>
        <w:rPr>
          <w:sz w:val="20"/>
          <w:szCs w:val="20"/>
        </w:rPr>
        <w:t xml:space="preserve"> entered into a contract for services with __________________________________ (“Contractor”</w:t>
      </w:r>
      <w:r>
        <w:rPr>
          <w:sz w:val="20"/>
          <w:szCs w:val="20"/>
        </w:rPr>
        <w:t>)</w:t>
      </w:r>
      <w:r>
        <w:rPr>
          <w:sz w:val="20"/>
          <w:szCs w:val="20"/>
        </w:rPr>
        <w:t xml:space="preserve"> on or</w:t>
      </w:r>
      <w:r>
        <w:rPr>
          <w:sz w:val="20"/>
          <w:szCs w:val="20"/>
        </w:rPr>
        <w:t xml:space="preserve"> about _____________, 20____ (“Contract”.  Pursuant to Education Code sections 45125.1 and 45125.2, the District has determined that ___________________________, a subcontractor to the Contractor for purposes of that Contract (“Subcontractor”)  is exempt f</w:t>
      </w:r>
      <w:r>
        <w:rPr>
          <w:sz w:val="20"/>
          <w:szCs w:val="20"/>
        </w:rPr>
        <w:t>rom the criminal background check certification requirements for the Contract because:</w:t>
      </w:r>
    </w:p>
    <w:p w:rsidR="00E4078C" w:rsidRDefault="009760CB">
      <w:pPr>
        <w:pStyle w:val="BodyTextFlush"/>
        <w:spacing w:before="200"/>
        <w:ind w:left="1440" w:hanging="720"/>
        <w:rPr>
          <w:sz w:val="20"/>
          <w:szCs w:val="20"/>
        </w:rPr>
      </w:pPr>
      <w:r>
        <w:rPr>
          <w:sz w:val="20"/>
          <w:szCs w:val="20"/>
        </w:rPr>
        <w:t></w:t>
      </w:r>
      <w:r>
        <w:rPr>
          <w:sz w:val="20"/>
          <w:szCs w:val="20"/>
        </w:rPr>
        <w:tab/>
        <w:t>The Subcontractor’s employees will have limited contact with District students during the course of the Contract;</w:t>
      </w:r>
    </w:p>
    <w:p w:rsidR="00E4078C" w:rsidRDefault="009760CB">
      <w:pPr>
        <w:pStyle w:val="BodyTextFlush"/>
        <w:spacing w:before="200"/>
        <w:ind w:left="1440" w:hanging="720"/>
        <w:rPr>
          <w:sz w:val="20"/>
          <w:szCs w:val="20"/>
        </w:rPr>
      </w:pPr>
      <w:r>
        <w:rPr>
          <w:sz w:val="20"/>
          <w:szCs w:val="20"/>
        </w:rPr>
        <w:t></w:t>
      </w:r>
      <w:r>
        <w:rPr>
          <w:sz w:val="20"/>
          <w:szCs w:val="20"/>
        </w:rPr>
        <w:tab/>
        <w:t>Emergency or exceptional circumstances exist; or</w:t>
      </w:r>
    </w:p>
    <w:p w:rsidR="008766EF" w:rsidRDefault="009760CB" w:rsidP="008766EF">
      <w:pPr>
        <w:pStyle w:val="BodyTextFlush"/>
        <w:spacing w:before="200"/>
        <w:ind w:left="1440" w:hanging="720"/>
        <w:rPr>
          <w:sz w:val="20"/>
          <w:szCs w:val="20"/>
        </w:rPr>
      </w:pPr>
      <w:r>
        <w:rPr>
          <w:sz w:val="20"/>
          <w:szCs w:val="20"/>
        </w:rPr>
        <w:t></w:t>
      </w:r>
      <w:r>
        <w:rPr>
          <w:sz w:val="20"/>
          <w:szCs w:val="20"/>
        </w:rPr>
        <w:tab/>
      </w:r>
      <w:r>
        <w:rPr>
          <w:sz w:val="20"/>
          <w:szCs w:val="20"/>
        </w:rPr>
        <w:t>With respect to Contractors constructing, reconstructing, rehabilitating or repairing a school facility, as provided in Section 45125.2, the Contractor has agreed to ensure the safety of pupils at the school facility by the following method(s) specified in</w:t>
      </w:r>
      <w:r>
        <w:rPr>
          <w:sz w:val="20"/>
          <w:szCs w:val="20"/>
        </w:rPr>
        <w:t xml:space="preserve"> Section 45125.2:</w:t>
      </w:r>
    </w:p>
    <w:p w:rsidR="008766EF" w:rsidRPr="005052E0" w:rsidRDefault="009760CB" w:rsidP="008766EF">
      <w:pPr>
        <w:pStyle w:val="BodyTextFlush"/>
        <w:spacing w:before="200"/>
        <w:ind w:left="1440"/>
        <w:rPr>
          <w:sz w:val="20"/>
          <w:szCs w:val="20"/>
        </w:rPr>
      </w:pPr>
      <w:r>
        <w:rPr>
          <w:sz w:val="20"/>
          <w:szCs w:val="20"/>
        </w:rPr>
        <w:t></w:t>
      </w:r>
      <w:r>
        <w:rPr>
          <w:sz w:val="20"/>
          <w:szCs w:val="20"/>
        </w:rPr>
        <w:tab/>
      </w:r>
      <w:r w:rsidRPr="005052E0">
        <w:rPr>
          <w:sz w:val="20"/>
          <w:szCs w:val="20"/>
        </w:rPr>
        <w:t>The installation of a physical barrier at the worksite to limit contact with pupils.</w:t>
      </w:r>
    </w:p>
    <w:p w:rsidR="008766EF" w:rsidRPr="005052E0" w:rsidRDefault="009760CB" w:rsidP="008766EF">
      <w:pPr>
        <w:pStyle w:val="BodyTextFlush"/>
        <w:spacing w:before="200"/>
        <w:ind w:left="2160" w:hanging="720"/>
        <w:rPr>
          <w:sz w:val="20"/>
          <w:szCs w:val="20"/>
        </w:rPr>
      </w:pPr>
      <w:r>
        <w:rPr>
          <w:sz w:val="20"/>
          <w:szCs w:val="20"/>
        </w:rPr>
        <w:t></w:t>
      </w:r>
      <w:r>
        <w:rPr>
          <w:sz w:val="20"/>
          <w:szCs w:val="20"/>
        </w:rPr>
        <w:tab/>
      </w:r>
      <w:r w:rsidRPr="005052E0">
        <w:rPr>
          <w:sz w:val="20"/>
          <w:szCs w:val="20"/>
        </w:rPr>
        <w:t>Continual supervision and monitoring of all employees of the entity by an employee of the entity whom the Department of Justice has ascertained has n</w:t>
      </w:r>
      <w:r w:rsidRPr="005052E0">
        <w:rPr>
          <w:sz w:val="20"/>
          <w:szCs w:val="20"/>
        </w:rPr>
        <w:t>ot been convicted of a violent or serious felony.</w:t>
      </w:r>
    </w:p>
    <w:p w:rsidR="008766EF" w:rsidRDefault="009760CB" w:rsidP="008766EF">
      <w:pPr>
        <w:pStyle w:val="BodyTextFlush"/>
        <w:spacing w:before="200"/>
        <w:ind w:left="1440"/>
        <w:rPr>
          <w:sz w:val="20"/>
          <w:szCs w:val="20"/>
        </w:rPr>
      </w:pPr>
    </w:p>
    <w:p w:rsidR="008766EF" w:rsidRDefault="009760CB" w:rsidP="008766EF">
      <w:pPr>
        <w:pStyle w:val="BodyTextFlush"/>
        <w:spacing w:before="200"/>
        <w:rPr>
          <w:sz w:val="20"/>
          <w:szCs w:val="20"/>
        </w:rPr>
      </w:pPr>
      <w:r>
        <w:rPr>
          <w:sz w:val="20"/>
          <w:szCs w:val="20"/>
        </w:rPr>
        <w:t>School District Official:</w:t>
      </w:r>
      <w:r>
        <w:rPr>
          <w:sz w:val="20"/>
          <w:szCs w:val="20"/>
        </w:rPr>
        <w:tab/>
      </w:r>
      <w:r>
        <w:rPr>
          <w:sz w:val="20"/>
          <w:szCs w:val="20"/>
        </w:rPr>
        <w:tab/>
      </w:r>
      <w:r>
        <w:rPr>
          <w:sz w:val="20"/>
          <w:szCs w:val="20"/>
          <w:u w:val="single"/>
        </w:rPr>
        <w:tab/>
      </w:r>
      <w:r>
        <w:rPr>
          <w:sz w:val="20"/>
          <w:szCs w:val="20"/>
          <w:u w:val="single"/>
        </w:rPr>
        <w:tab/>
      </w:r>
      <w:r>
        <w:rPr>
          <w:sz w:val="20"/>
          <w:szCs w:val="20"/>
          <w:u w:val="single"/>
        </w:rPr>
        <w:tab/>
      </w:r>
      <w:r>
        <w:rPr>
          <w:sz w:val="20"/>
          <w:szCs w:val="20"/>
          <w:u w:val="single"/>
        </w:rPr>
        <w:tab/>
      </w:r>
    </w:p>
    <w:p w:rsidR="008766EF" w:rsidRDefault="009760CB" w:rsidP="008766EF">
      <w:pPr>
        <w:pStyle w:val="BodyTextFlush"/>
        <w:spacing w:before="200"/>
        <w:rPr>
          <w:sz w:val="20"/>
          <w:szCs w:val="20"/>
        </w:rPr>
      </w:pPr>
      <w:r>
        <w:rPr>
          <w:sz w:val="20"/>
          <w:szCs w:val="20"/>
        </w:rPr>
        <w:t>Date:</w:t>
      </w:r>
      <w:r>
        <w:rPr>
          <w:sz w:val="20"/>
          <w:szCs w:val="20"/>
        </w:rPr>
        <w:tab/>
      </w:r>
      <w:r>
        <w:rPr>
          <w:sz w:val="20"/>
          <w:szCs w:val="20"/>
        </w:rPr>
        <w:tab/>
      </w:r>
      <w:r>
        <w:rPr>
          <w:sz w:val="20"/>
          <w:szCs w:val="20"/>
        </w:rPr>
        <w:tab/>
      </w:r>
      <w:r>
        <w:rPr>
          <w:sz w:val="20"/>
          <w:szCs w:val="20"/>
        </w:rPr>
        <w:tab/>
      </w:r>
      <w:r>
        <w:rPr>
          <w:sz w:val="20"/>
          <w:szCs w:val="20"/>
          <w:u w:val="single"/>
        </w:rPr>
        <w:tab/>
      </w:r>
      <w:r>
        <w:rPr>
          <w:sz w:val="20"/>
          <w:szCs w:val="20"/>
          <w:u w:val="single"/>
        </w:rPr>
        <w:tab/>
      </w:r>
      <w:r>
        <w:rPr>
          <w:sz w:val="20"/>
          <w:szCs w:val="20"/>
          <w:u w:val="single"/>
        </w:rPr>
        <w:tab/>
      </w:r>
      <w:r>
        <w:rPr>
          <w:sz w:val="20"/>
          <w:szCs w:val="20"/>
          <w:u w:val="single"/>
        </w:rPr>
        <w:tab/>
      </w:r>
    </w:p>
    <w:p w:rsidR="00E4078C" w:rsidRDefault="009760CB">
      <w:pPr>
        <w:pStyle w:val="Title"/>
        <w:spacing w:before="200"/>
        <w:rPr>
          <w:sz w:val="20"/>
          <w:szCs w:val="20"/>
        </w:rPr>
      </w:pPr>
      <w:r>
        <w:rPr>
          <w:sz w:val="20"/>
          <w:szCs w:val="20"/>
        </w:rPr>
        <w:br w:type="page"/>
      </w:r>
      <w:bookmarkStart w:id="285" w:name="_Toc365549882"/>
      <w:r>
        <w:rPr>
          <w:sz w:val="20"/>
          <w:szCs w:val="20"/>
        </w:rPr>
        <w:lastRenderedPageBreak/>
        <w:t>EXHIBIT “G”</w:t>
      </w:r>
      <w:bookmarkEnd w:id="285"/>
    </w:p>
    <w:p w:rsidR="00E4078C" w:rsidRDefault="009760CB">
      <w:pPr>
        <w:pStyle w:val="Title"/>
        <w:spacing w:before="200"/>
        <w:rPr>
          <w:sz w:val="20"/>
          <w:szCs w:val="20"/>
        </w:rPr>
      </w:pPr>
      <w:bookmarkStart w:id="286" w:name="_Toc365549883"/>
      <w:r>
        <w:rPr>
          <w:sz w:val="20"/>
          <w:szCs w:val="20"/>
        </w:rPr>
        <w:t>CONTRACTOR’S CERTIFICATE REGARDING WORKERS’ COMPENSATION</w:t>
      </w:r>
      <w:bookmarkEnd w:id="286"/>
    </w:p>
    <w:p w:rsidR="00E4078C" w:rsidRDefault="009760CB">
      <w:pPr>
        <w:pStyle w:val="BodyTextFirstIndent"/>
        <w:spacing w:before="200"/>
        <w:rPr>
          <w:sz w:val="20"/>
          <w:szCs w:val="20"/>
        </w:rPr>
      </w:pPr>
      <w:r>
        <w:rPr>
          <w:sz w:val="20"/>
          <w:szCs w:val="20"/>
        </w:rPr>
        <w:t>Labor Code section 3700 in relevant part provides:</w:t>
      </w:r>
    </w:p>
    <w:p w:rsidR="00E4078C" w:rsidRDefault="009760CB">
      <w:pPr>
        <w:pStyle w:val="BodyTextFirstIndent"/>
        <w:spacing w:before="200"/>
        <w:rPr>
          <w:sz w:val="20"/>
          <w:szCs w:val="20"/>
        </w:rPr>
      </w:pPr>
      <w:r>
        <w:rPr>
          <w:sz w:val="20"/>
          <w:szCs w:val="20"/>
        </w:rPr>
        <w:t xml:space="preserve">Every employer except the State shall </w:t>
      </w:r>
      <w:r>
        <w:rPr>
          <w:sz w:val="20"/>
          <w:szCs w:val="20"/>
        </w:rPr>
        <w:t>secure the payment of compensation in one or more of the following ways:</w:t>
      </w:r>
    </w:p>
    <w:p w:rsidR="00E4078C" w:rsidRDefault="009760CB">
      <w:pPr>
        <w:pStyle w:val="BodyTextFirstIndent"/>
        <w:spacing w:before="200"/>
        <w:rPr>
          <w:sz w:val="20"/>
          <w:szCs w:val="20"/>
        </w:rPr>
      </w:pPr>
      <w:r>
        <w:rPr>
          <w:sz w:val="20"/>
          <w:szCs w:val="20"/>
        </w:rPr>
        <w:t>(a)</w:t>
      </w:r>
      <w:r>
        <w:rPr>
          <w:sz w:val="20"/>
          <w:szCs w:val="20"/>
        </w:rPr>
        <w:tab/>
        <w:t>By being insured against liability to pay compensation in one or more insurers duly authorized to write compensation insurance in this State.</w:t>
      </w:r>
    </w:p>
    <w:p w:rsidR="00E4078C" w:rsidRDefault="009760CB">
      <w:pPr>
        <w:pStyle w:val="BodyTextFirstIndent"/>
        <w:spacing w:before="200"/>
        <w:rPr>
          <w:sz w:val="20"/>
          <w:szCs w:val="20"/>
        </w:rPr>
      </w:pPr>
      <w:r>
        <w:rPr>
          <w:sz w:val="20"/>
          <w:szCs w:val="20"/>
        </w:rPr>
        <w:t>(b)</w:t>
      </w:r>
      <w:r>
        <w:rPr>
          <w:sz w:val="20"/>
          <w:szCs w:val="20"/>
        </w:rPr>
        <w:tab/>
        <w:t xml:space="preserve">By securing from the Director of </w:t>
      </w:r>
      <w:r>
        <w:rPr>
          <w:sz w:val="20"/>
          <w:szCs w:val="20"/>
        </w:rPr>
        <w:t>Industrial Relations a certificate of consent to self-insure, either as an individual employee or as one employer in a group of employers, which may be given upon furnishing proof satisfactory to the Director of Industrial Relations of ability to self-insu</w:t>
      </w:r>
      <w:r>
        <w:rPr>
          <w:sz w:val="20"/>
          <w:szCs w:val="20"/>
        </w:rPr>
        <w:t>re and to pay any compensation that may become due to his employees.</w:t>
      </w:r>
    </w:p>
    <w:p w:rsidR="00E4078C" w:rsidRDefault="009760CB">
      <w:pPr>
        <w:pStyle w:val="BodyTextFirstIndent"/>
        <w:spacing w:before="200"/>
        <w:rPr>
          <w:sz w:val="20"/>
          <w:szCs w:val="20"/>
        </w:rPr>
      </w:pPr>
      <w:r>
        <w:rPr>
          <w:sz w:val="20"/>
          <w:szCs w:val="20"/>
        </w:rPr>
        <w:t>I am aware of the provisions of Section 3700 of the Labor Code which require every employer to be insured against liability for workers’ compensation or to undertake self-insurance in acc</w:t>
      </w:r>
      <w:r>
        <w:rPr>
          <w:sz w:val="20"/>
          <w:szCs w:val="20"/>
        </w:rPr>
        <w:t>ordance with the provisions of that code, and I will comply with such provisions before commencing the performance of the work of this Construction Services Agreement.</w:t>
      </w:r>
    </w:p>
    <w:p w:rsidR="00E4078C" w:rsidRDefault="009760CB">
      <w:pPr>
        <w:pStyle w:val="BodyTextFlush"/>
        <w:spacing w:before="200"/>
        <w:ind w:left="720"/>
        <w:rPr>
          <w:sz w:val="20"/>
          <w:szCs w:val="20"/>
        </w:rPr>
      </w:pPr>
      <w:r>
        <w:rPr>
          <w:sz w:val="20"/>
          <w:szCs w:val="20"/>
        </w:rPr>
        <w:t xml:space="preserve">Contractor   </w:t>
      </w:r>
      <w:r>
        <w:rPr>
          <w:sz w:val="20"/>
          <w:szCs w:val="20"/>
        </w:rPr>
        <w:tab/>
        <w:t>______________________________________________________</w:t>
      </w:r>
    </w:p>
    <w:p w:rsidR="00E4078C" w:rsidRDefault="009760CB">
      <w:pPr>
        <w:pStyle w:val="BodyTextFlush"/>
        <w:spacing w:before="200"/>
        <w:ind w:left="720"/>
        <w:rPr>
          <w:sz w:val="20"/>
          <w:szCs w:val="20"/>
        </w:rPr>
      </w:pPr>
      <w:r>
        <w:rPr>
          <w:sz w:val="20"/>
          <w:szCs w:val="20"/>
        </w:rPr>
        <w:t>Title</w:t>
      </w:r>
      <w:r>
        <w:rPr>
          <w:sz w:val="20"/>
          <w:szCs w:val="20"/>
        </w:rPr>
        <w:tab/>
      </w:r>
      <w:r>
        <w:rPr>
          <w:sz w:val="20"/>
          <w:szCs w:val="20"/>
        </w:rPr>
        <w:tab/>
        <w:t>____________</w:t>
      </w:r>
      <w:r>
        <w:rPr>
          <w:sz w:val="20"/>
          <w:szCs w:val="20"/>
        </w:rPr>
        <w:t>__________________________________________</w:t>
      </w:r>
    </w:p>
    <w:p w:rsidR="00E4078C" w:rsidRDefault="009760CB">
      <w:pPr>
        <w:pStyle w:val="BodyTextFlush"/>
        <w:spacing w:before="200"/>
        <w:ind w:left="720"/>
        <w:rPr>
          <w:sz w:val="20"/>
          <w:szCs w:val="20"/>
        </w:rPr>
      </w:pPr>
      <w:r>
        <w:rPr>
          <w:sz w:val="20"/>
          <w:szCs w:val="20"/>
        </w:rPr>
        <w:t>Date</w:t>
      </w:r>
      <w:r>
        <w:rPr>
          <w:sz w:val="20"/>
          <w:szCs w:val="20"/>
        </w:rPr>
        <w:tab/>
      </w:r>
      <w:r>
        <w:rPr>
          <w:sz w:val="20"/>
          <w:szCs w:val="20"/>
        </w:rPr>
        <w:tab/>
        <w:t>______________________________________________________</w:t>
      </w:r>
    </w:p>
    <w:p w:rsidR="00E4078C" w:rsidRDefault="009760CB">
      <w:pPr>
        <w:pStyle w:val="BodyTextFirstIndent"/>
        <w:spacing w:before="200"/>
        <w:rPr>
          <w:sz w:val="20"/>
          <w:szCs w:val="20"/>
        </w:rPr>
      </w:pPr>
      <w:r>
        <w:rPr>
          <w:sz w:val="20"/>
          <w:szCs w:val="20"/>
        </w:rPr>
        <w:t xml:space="preserve">(In accordance with article </w:t>
      </w:r>
      <w:r>
        <w:rPr>
          <w:sz w:val="20"/>
          <w:szCs w:val="20"/>
        </w:rPr>
        <w:t>5</w:t>
      </w:r>
      <w:r>
        <w:rPr>
          <w:sz w:val="20"/>
          <w:szCs w:val="20"/>
        </w:rPr>
        <w:t xml:space="preserve"> (commencing at section 1860), chapter l, part 7, division 2 of the Labor Code, the above certificate must be signed and fi</w:t>
      </w:r>
      <w:r>
        <w:rPr>
          <w:sz w:val="20"/>
          <w:szCs w:val="20"/>
        </w:rPr>
        <w:t>led with the awarding body prior to performing any work under this Construction Services Agreement.)</w:t>
      </w:r>
    </w:p>
    <w:p w:rsidR="00E4078C" w:rsidRDefault="009760CB">
      <w:pPr>
        <w:pStyle w:val="Title"/>
        <w:spacing w:before="200"/>
        <w:rPr>
          <w:sz w:val="20"/>
          <w:szCs w:val="20"/>
        </w:rPr>
      </w:pPr>
      <w:r>
        <w:rPr>
          <w:sz w:val="20"/>
          <w:szCs w:val="20"/>
        </w:rPr>
        <w:br w:type="page"/>
      </w:r>
      <w:bookmarkStart w:id="287" w:name="_Toc365549884"/>
      <w:r>
        <w:rPr>
          <w:sz w:val="20"/>
          <w:szCs w:val="20"/>
        </w:rPr>
        <w:lastRenderedPageBreak/>
        <w:t>EXHIBIT “H”</w:t>
      </w:r>
      <w:bookmarkEnd w:id="287"/>
    </w:p>
    <w:p w:rsidR="00E4078C" w:rsidRDefault="009760CB">
      <w:pPr>
        <w:pStyle w:val="Title"/>
        <w:spacing w:before="200"/>
        <w:rPr>
          <w:sz w:val="20"/>
          <w:szCs w:val="20"/>
        </w:rPr>
      </w:pPr>
      <w:bookmarkStart w:id="288" w:name="_Toc365549885"/>
      <w:r>
        <w:rPr>
          <w:sz w:val="20"/>
          <w:szCs w:val="20"/>
        </w:rPr>
        <w:t>DRUG-FREE WORKPLACE CERTIFICATION</w:t>
      </w:r>
      <w:bookmarkEnd w:id="288"/>
    </w:p>
    <w:p w:rsidR="00E4078C" w:rsidRDefault="009760CB">
      <w:pPr>
        <w:pStyle w:val="BodyTextFirstIndent"/>
        <w:rPr>
          <w:sz w:val="20"/>
          <w:szCs w:val="20"/>
        </w:rPr>
      </w:pPr>
      <w:r>
        <w:rPr>
          <w:sz w:val="20"/>
          <w:szCs w:val="20"/>
        </w:rPr>
        <w:t xml:space="preserve">This Drug-Free Workplace Certification form is required from all successful bidders pursuant to the </w:t>
      </w:r>
      <w:r>
        <w:rPr>
          <w:sz w:val="20"/>
          <w:szCs w:val="20"/>
        </w:rPr>
        <w:t>requirements mand</w:t>
      </w:r>
      <w:r>
        <w:rPr>
          <w:sz w:val="20"/>
          <w:szCs w:val="20"/>
        </w:rPr>
        <w:t>ated by Government Code section</w:t>
      </w:r>
      <w:r>
        <w:rPr>
          <w:sz w:val="20"/>
          <w:szCs w:val="20"/>
        </w:rPr>
        <w:t xml:space="preserve"> 8350 et seq., the Drug-Free Workplace Act of 1990.  The Drug-Free Workplace Act of 1990 requires that every person or organization awarded a contract or grant for the procurement of any property or service f</w:t>
      </w:r>
      <w:r>
        <w:rPr>
          <w:sz w:val="20"/>
          <w:szCs w:val="20"/>
        </w:rPr>
        <w:t xml:space="preserve">rom any State agency must certify that it will provide a drug-free workplace by performing certain specified acts.  In addition, the Act provides that each contract or grant awarded by a State agency may be subject to suspension of payments or termination </w:t>
      </w:r>
      <w:r>
        <w:rPr>
          <w:sz w:val="20"/>
          <w:szCs w:val="20"/>
        </w:rPr>
        <w:t>of the contract or grant, and the Contractor or grantee may be subject to debarment from future contracting, if the contracting agency determines that specified acts have occurred.</w:t>
      </w:r>
    </w:p>
    <w:p w:rsidR="00E4078C" w:rsidRDefault="009760CB">
      <w:pPr>
        <w:pStyle w:val="BodyTextFirstIndent"/>
        <w:rPr>
          <w:sz w:val="20"/>
          <w:szCs w:val="20"/>
        </w:rPr>
      </w:pPr>
      <w:r>
        <w:rPr>
          <w:sz w:val="20"/>
          <w:szCs w:val="20"/>
        </w:rPr>
        <w:t xml:space="preserve">Pursuant to Government Code </w:t>
      </w:r>
      <w:r>
        <w:rPr>
          <w:sz w:val="20"/>
          <w:szCs w:val="20"/>
        </w:rPr>
        <w:t>section</w:t>
      </w:r>
      <w:r>
        <w:rPr>
          <w:sz w:val="20"/>
          <w:szCs w:val="20"/>
        </w:rPr>
        <w:t xml:space="preserve"> 8355, every person or organization awar</w:t>
      </w:r>
      <w:r>
        <w:rPr>
          <w:sz w:val="20"/>
          <w:szCs w:val="20"/>
        </w:rPr>
        <w:t>ded a contract or grant from a State agency shall certify that it will provide a drug-free workplace by doing all of the following:</w:t>
      </w:r>
    </w:p>
    <w:p w:rsidR="00E4078C" w:rsidRDefault="009760CB">
      <w:pPr>
        <w:pStyle w:val="ListNumber"/>
        <w:numPr>
          <w:ilvl w:val="0"/>
          <w:numId w:val="29"/>
        </w:numPr>
        <w:spacing w:before="220"/>
        <w:ind w:firstLine="720"/>
      </w:pPr>
      <w:r>
        <w:t>Publishing a statement, notifying employees that the unlawful manufacture, distribution, dispensation, possession, or use of</w:t>
      </w:r>
      <w:r>
        <w:t xml:space="preserve"> a controlled substance is prohibited in the person’s or organization’s workplace, and specifying actions which will be taken against employees for violations of the prohibition.</w:t>
      </w:r>
    </w:p>
    <w:p w:rsidR="00E4078C" w:rsidRDefault="009760CB">
      <w:pPr>
        <w:pStyle w:val="ListNumber"/>
        <w:numPr>
          <w:ilvl w:val="0"/>
          <w:numId w:val="28"/>
        </w:numPr>
        <w:spacing w:before="220"/>
        <w:ind w:firstLine="720"/>
      </w:pPr>
      <w:r>
        <w:t>Establishing a drug-free awareness program to inform employees about all of t</w:t>
      </w:r>
      <w:r>
        <w:t>he following:</w:t>
      </w:r>
    </w:p>
    <w:p w:rsidR="00E4078C" w:rsidRDefault="009760CB">
      <w:pPr>
        <w:pStyle w:val="ListNumber"/>
        <w:numPr>
          <w:ilvl w:val="1"/>
          <w:numId w:val="28"/>
        </w:numPr>
        <w:spacing w:before="220"/>
        <w:ind w:firstLine="720"/>
      </w:pPr>
      <w:r>
        <w:t>The dangers of drug abuse in the workplace;</w:t>
      </w:r>
    </w:p>
    <w:p w:rsidR="00E4078C" w:rsidRDefault="009760CB">
      <w:pPr>
        <w:pStyle w:val="ListNumber"/>
        <w:numPr>
          <w:ilvl w:val="1"/>
          <w:numId w:val="28"/>
        </w:numPr>
        <w:spacing w:before="0"/>
        <w:ind w:firstLine="720"/>
      </w:pPr>
      <w:r>
        <w:t>The person’s or organization’s policy of maintaining a drug-free workplace;</w:t>
      </w:r>
    </w:p>
    <w:p w:rsidR="00E4078C" w:rsidRDefault="009760CB">
      <w:pPr>
        <w:pStyle w:val="ListNumber"/>
        <w:numPr>
          <w:ilvl w:val="1"/>
          <w:numId w:val="28"/>
        </w:numPr>
        <w:spacing w:before="0"/>
        <w:ind w:left="1440" w:hanging="720"/>
      </w:pPr>
      <w:r>
        <w:t>The availability of drug counseling, rehabilitation and employee-assistance programs; and</w:t>
      </w:r>
    </w:p>
    <w:p w:rsidR="00E4078C" w:rsidRDefault="009760CB">
      <w:pPr>
        <w:pStyle w:val="ListNumber"/>
        <w:numPr>
          <w:ilvl w:val="1"/>
          <w:numId w:val="28"/>
        </w:numPr>
        <w:spacing w:before="0"/>
        <w:ind w:firstLine="720"/>
      </w:pPr>
      <w:r>
        <w:t xml:space="preserve">The penalties that may be </w:t>
      </w:r>
      <w:r>
        <w:t>imposed upon employees for drug abuse violations;</w:t>
      </w:r>
    </w:p>
    <w:p w:rsidR="00E4078C" w:rsidRDefault="009760CB">
      <w:pPr>
        <w:pStyle w:val="ListNumber"/>
        <w:numPr>
          <w:ilvl w:val="0"/>
          <w:numId w:val="28"/>
        </w:numPr>
        <w:spacing w:before="220"/>
        <w:ind w:firstLine="720"/>
      </w:pPr>
      <w:r>
        <w:t>Requiring that each employee engaged in the performance of the contract or grant be given a copy of the statement required by subdivision (a) and that, as a condition of employment on the contract or grant,</w:t>
      </w:r>
      <w:r>
        <w:t xml:space="preserve"> the employee agrees to abide by the terms of the statement.</w:t>
      </w:r>
    </w:p>
    <w:p w:rsidR="00E4078C" w:rsidRDefault="009760CB">
      <w:pPr>
        <w:pStyle w:val="BodyTextFirstIndent"/>
        <w:rPr>
          <w:sz w:val="20"/>
          <w:szCs w:val="20"/>
        </w:rPr>
      </w:pPr>
      <w:r>
        <w:rPr>
          <w:sz w:val="20"/>
          <w:szCs w:val="20"/>
        </w:rPr>
        <w:t xml:space="preserve">I, the undersigned, agree to fulfill the terms and requirements of Government Code </w:t>
      </w:r>
      <w:r>
        <w:rPr>
          <w:sz w:val="20"/>
          <w:szCs w:val="20"/>
        </w:rPr>
        <w:t>section</w:t>
      </w:r>
      <w:r>
        <w:rPr>
          <w:sz w:val="20"/>
          <w:szCs w:val="20"/>
        </w:rPr>
        <w:t xml:space="preserve"> 8355 listed above and will (a) publish a statement notifying employees concerning the prohibition of con</w:t>
      </w:r>
      <w:r>
        <w:rPr>
          <w:sz w:val="20"/>
          <w:szCs w:val="20"/>
        </w:rPr>
        <w:t>trolled substance at the workplace, (b) establish a drug-free awareness program, and (c) require each employee engaged in the performance of the contact be given a copy of the statement required by section 8355(a) and require such employee agree to abide b</w:t>
      </w:r>
      <w:r>
        <w:rPr>
          <w:sz w:val="20"/>
          <w:szCs w:val="20"/>
        </w:rPr>
        <w:t>y the terms of that statement.</w:t>
      </w:r>
    </w:p>
    <w:p w:rsidR="00E4078C" w:rsidRDefault="009760CB">
      <w:pPr>
        <w:pStyle w:val="BodyTextFirstIndent"/>
        <w:rPr>
          <w:sz w:val="20"/>
          <w:szCs w:val="20"/>
        </w:rPr>
      </w:pPr>
      <w:r>
        <w:rPr>
          <w:sz w:val="20"/>
          <w:szCs w:val="20"/>
        </w:rPr>
        <w:t>I also understand that if the</w:t>
      </w:r>
      <w:r>
        <w:rPr>
          <w:sz w:val="20"/>
          <w:szCs w:val="20"/>
        </w:rPr>
        <w:t xml:space="preserve"> District determines that I have either (a) made a false certification herein, or (b) violated this certification by failing to carry out the requirements of Section 8355, that the contract awarde</w:t>
      </w:r>
      <w:r>
        <w:rPr>
          <w:sz w:val="20"/>
          <w:szCs w:val="20"/>
        </w:rPr>
        <w:t>d herein is subject to termination, suspension of payments, or both.  I further understand that, should I violate the terms of the Drug-Free Workplace Act of 1990, I may be subject to debarment in accordance w</w:t>
      </w:r>
      <w:r>
        <w:rPr>
          <w:sz w:val="20"/>
          <w:szCs w:val="20"/>
        </w:rPr>
        <w:t>ith the requirements of Section</w:t>
      </w:r>
      <w:r>
        <w:rPr>
          <w:sz w:val="20"/>
          <w:szCs w:val="20"/>
        </w:rPr>
        <w:t xml:space="preserve"> 8350 et seq.</w:t>
      </w:r>
    </w:p>
    <w:p w:rsidR="00E4078C" w:rsidRDefault="009760CB">
      <w:pPr>
        <w:pStyle w:val="BodyTextFirstIndent"/>
        <w:spacing w:after="240"/>
        <w:rPr>
          <w:sz w:val="20"/>
          <w:szCs w:val="20"/>
        </w:rPr>
      </w:pPr>
      <w:r>
        <w:rPr>
          <w:sz w:val="20"/>
          <w:szCs w:val="20"/>
        </w:rPr>
        <w:t xml:space="preserve">I </w:t>
      </w:r>
      <w:r>
        <w:rPr>
          <w:sz w:val="20"/>
          <w:szCs w:val="20"/>
        </w:rPr>
        <w:t>acknowledge that I am aware of the provisions of Government</w:t>
      </w:r>
      <w:r>
        <w:rPr>
          <w:sz w:val="20"/>
          <w:szCs w:val="20"/>
        </w:rPr>
        <w:t xml:space="preserve"> Code section</w:t>
      </w:r>
      <w:r>
        <w:rPr>
          <w:sz w:val="20"/>
          <w:szCs w:val="20"/>
        </w:rPr>
        <w:t xml:space="preserve"> 8350 et seq. and hereby certify that I will adhere to the requirements of the Drug-Free Workplace Act of 1990.</w:t>
      </w:r>
      <w:r>
        <w:rPr>
          <w:sz w:val="20"/>
          <w:szCs w:val="20"/>
        </w:rPr>
        <w:br/>
      </w:r>
    </w:p>
    <w:tbl>
      <w:tblPr>
        <w:tblW w:w="0" w:type="auto"/>
        <w:tblLook w:val="01E0" w:firstRow="1" w:lastRow="1" w:firstColumn="1" w:lastColumn="1" w:noHBand="0" w:noVBand="0"/>
      </w:tblPr>
      <w:tblGrid>
        <w:gridCol w:w="4787"/>
        <w:gridCol w:w="4789"/>
      </w:tblGrid>
      <w:tr w:rsidR="00C05B7A">
        <w:trPr>
          <w:cantSplit/>
          <w:trHeight w:val="144"/>
        </w:trPr>
        <w:tc>
          <w:tcPr>
            <w:tcW w:w="4788" w:type="dxa"/>
            <w:shd w:val="clear" w:color="auto" w:fill="auto"/>
          </w:tcPr>
          <w:p w:rsidR="00E4078C" w:rsidRDefault="009760CB">
            <w:pPr>
              <w:tabs>
                <w:tab w:val="right" w:pos="4334"/>
              </w:tabs>
              <w:spacing w:before="100" w:beforeAutospacing="1" w:after="100" w:afterAutospacing="1"/>
              <w:jc w:val="both"/>
              <w:rPr>
                <w:sz w:val="20"/>
                <w:szCs w:val="20"/>
                <w:u w:val="single"/>
              </w:rPr>
            </w:pPr>
            <w:r>
              <w:rPr>
                <w:sz w:val="20"/>
                <w:szCs w:val="20"/>
              </w:rPr>
              <w:t>DATE:</w:t>
            </w:r>
            <w:r>
              <w:rPr>
                <w:sz w:val="20"/>
                <w:szCs w:val="20"/>
                <w:u w:val="single"/>
              </w:rPr>
              <w:tab/>
            </w:r>
          </w:p>
        </w:tc>
        <w:tc>
          <w:tcPr>
            <w:tcW w:w="4788" w:type="dxa"/>
            <w:shd w:val="clear" w:color="auto" w:fill="auto"/>
          </w:tcPr>
          <w:p w:rsidR="00E4078C" w:rsidRDefault="009760CB">
            <w:pPr>
              <w:tabs>
                <w:tab w:val="right" w:pos="4572"/>
              </w:tabs>
              <w:spacing w:before="100" w:beforeAutospacing="1" w:after="100" w:afterAutospacing="1"/>
              <w:jc w:val="both"/>
              <w:rPr>
                <w:sz w:val="20"/>
                <w:szCs w:val="20"/>
              </w:rPr>
            </w:pPr>
            <w:r>
              <w:rPr>
                <w:sz w:val="20"/>
                <w:szCs w:val="20"/>
                <w:u w:val="single"/>
              </w:rPr>
              <w:tab/>
            </w:r>
            <w:r>
              <w:rPr>
                <w:sz w:val="20"/>
                <w:szCs w:val="20"/>
              </w:rPr>
              <w:br/>
              <w:t xml:space="preserve">     </w:t>
            </w:r>
            <w:r>
              <w:rPr>
                <w:sz w:val="20"/>
                <w:szCs w:val="20"/>
              </w:rPr>
              <w:t>CONTRACTOR</w:t>
            </w:r>
          </w:p>
        </w:tc>
      </w:tr>
      <w:tr w:rsidR="00C05B7A">
        <w:trPr>
          <w:cantSplit/>
          <w:trHeight w:val="144"/>
        </w:trPr>
        <w:tc>
          <w:tcPr>
            <w:tcW w:w="4788" w:type="dxa"/>
            <w:shd w:val="clear" w:color="auto" w:fill="auto"/>
          </w:tcPr>
          <w:p w:rsidR="00E4078C" w:rsidRDefault="009760CB">
            <w:pPr>
              <w:spacing w:before="100" w:beforeAutospacing="1" w:after="100" w:afterAutospacing="1"/>
              <w:jc w:val="both"/>
              <w:rPr>
                <w:sz w:val="20"/>
                <w:szCs w:val="20"/>
              </w:rPr>
            </w:pPr>
          </w:p>
        </w:tc>
        <w:tc>
          <w:tcPr>
            <w:tcW w:w="4788" w:type="dxa"/>
            <w:shd w:val="clear" w:color="auto" w:fill="auto"/>
          </w:tcPr>
          <w:p w:rsidR="00E4078C" w:rsidRDefault="009760CB">
            <w:pPr>
              <w:tabs>
                <w:tab w:val="right" w:pos="4573"/>
              </w:tabs>
              <w:spacing w:before="100" w:beforeAutospacing="1" w:after="100" w:afterAutospacing="1"/>
              <w:jc w:val="both"/>
              <w:rPr>
                <w:sz w:val="20"/>
                <w:szCs w:val="20"/>
              </w:rPr>
            </w:pPr>
          </w:p>
          <w:p w:rsidR="00E4078C" w:rsidRDefault="009760CB">
            <w:pPr>
              <w:tabs>
                <w:tab w:val="right" w:pos="4573"/>
              </w:tabs>
              <w:spacing w:before="100" w:beforeAutospacing="1" w:after="100" w:afterAutospacing="1"/>
              <w:jc w:val="both"/>
              <w:rPr>
                <w:sz w:val="20"/>
                <w:szCs w:val="20"/>
              </w:rPr>
            </w:pPr>
            <w:r>
              <w:rPr>
                <w:sz w:val="20"/>
                <w:szCs w:val="20"/>
              </w:rPr>
              <w:t>By:</w:t>
            </w:r>
            <w:r>
              <w:rPr>
                <w:sz w:val="20"/>
                <w:szCs w:val="20"/>
                <w:u w:val="single"/>
              </w:rPr>
              <w:t xml:space="preserve"> </w:t>
            </w:r>
            <w:r>
              <w:rPr>
                <w:sz w:val="20"/>
                <w:szCs w:val="20"/>
                <w:u w:val="single"/>
              </w:rPr>
              <w:tab/>
            </w:r>
            <w:r>
              <w:rPr>
                <w:sz w:val="20"/>
                <w:szCs w:val="20"/>
              </w:rPr>
              <w:br/>
              <w:t xml:space="preserve">       Signature</w:t>
            </w:r>
          </w:p>
        </w:tc>
      </w:tr>
    </w:tbl>
    <w:p w:rsidR="00E4078C" w:rsidRDefault="009760CB">
      <w:pPr>
        <w:pStyle w:val="Title"/>
        <w:spacing w:before="200"/>
        <w:rPr>
          <w:sz w:val="20"/>
          <w:szCs w:val="20"/>
        </w:rPr>
      </w:pPr>
      <w:r>
        <w:rPr>
          <w:sz w:val="20"/>
          <w:szCs w:val="20"/>
        </w:rPr>
        <w:br w:type="page"/>
      </w:r>
      <w:bookmarkStart w:id="289" w:name="_Toc365549888"/>
      <w:r>
        <w:rPr>
          <w:sz w:val="20"/>
          <w:szCs w:val="20"/>
        </w:rPr>
        <w:lastRenderedPageBreak/>
        <w:t>EXHIBIT “I”</w:t>
      </w:r>
      <w:bookmarkEnd w:id="289"/>
    </w:p>
    <w:p w:rsidR="00E4078C" w:rsidRDefault="009760CB">
      <w:pPr>
        <w:pStyle w:val="Title"/>
        <w:spacing w:before="200"/>
        <w:rPr>
          <w:sz w:val="20"/>
          <w:szCs w:val="20"/>
        </w:rPr>
      </w:pPr>
      <w:bookmarkStart w:id="290" w:name="_Toc365549889"/>
      <w:r>
        <w:rPr>
          <w:sz w:val="20"/>
          <w:szCs w:val="20"/>
        </w:rPr>
        <w:t>CONDUCT RULES FOR CONTRACTORS</w:t>
      </w:r>
      <w:bookmarkEnd w:id="290"/>
    </w:p>
    <w:p w:rsidR="00E4078C" w:rsidRDefault="009760CB">
      <w:pPr>
        <w:pStyle w:val="BodyTextFlush"/>
        <w:spacing w:before="200"/>
        <w:rPr>
          <w:sz w:val="20"/>
          <w:szCs w:val="20"/>
        </w:rPr>
      </w:pPr>
      <w:r>
        <w:rPr>
          <w:sz w:val="20"/>
          <w:szCs w:val="20"/>
        </w:rPr>
        <w:t xml:space="preserve">Each contractor/subcontractor, when performing work on </w:t>
      </w:r>
      <w:r>
        <w:rPr>
          <w:sz w:val="20"/>
          <w:szCs w:val="20"/>
        </w:rPr>
        <w:t xml:space="preserve">Woodland Joint Unified </w:t>
      </w:r>
      <w:r>
        <w:rPr>
          <w:sz w:val="20"/>
          <w:szCs w:val="20"/>
        </w:rPr>
        <w:t>School District property, in addition to complying with the provisions of the Construction Services Agreement, shall adhere to the following rules o</w:t>
      </w:r>
      <w:r>
        <w:rPr>
          <w:sz w:val="20"/>
          <w:szCs w:val="20"/>
        </w:rPr>
        <w:t>f conduct:</w:t>
      </w:r>
    </w:p>
    <w:p w:rsidR="00E4078C" w:rsidRDefault="009760CB">
      <w:pPr>
        <w:pStyle w:val="BodyTextFlush"/>
        <w:spacing w:before="200"/>
        <w:ind w:left="720" w:hanging="720"/>
        <w:rPr>
          <w:sz w:val="20"/>
          <w:szCs w:val="20"/>
        </w:rPr>
      </w:pPr>
      <w:r>
        <w:rPr>
          <w:sz w:val="20"/>
          <w:szCs w:val="20"/>
        </w:rPr>
        <w:t>1.</w:t>
      </w:r>
      <w:r>
        <w:rPr>
          <w:sz w:val="20"/>
          <w:szCs w:val="20"/>
        </w:rPr>
        <w:tab/>
        <w:t>Professional and courteous conduct is expected and will be displayed at all times.</w:t>
      </w:r>
    </w:p>
    <w:p w:rsidR="00E4078C" w:rsidRDefault="009760CB">
      <w:pPr>
        <w:pStyle w:val="BodyTextFlush"/>
        <w:spacing w:before="0"/>
        <w:ind w:left="720" w:hanging="720"/>
        <w:rPr>
          <w:sz w:val="20"/>
          <w:szCs w:val="20"/>
        </w:rPr>
      </w:pPr>
      <w:r>
        <w:rPr>
          <w:sz w:val="20"/>
          <w:szCs w:val="20"/>
        </w:rPr>
        <w:t>2.</w:t>
      </w:r>
      <w:r>
        <w:rPr>
          <w:sz w:val="20"/>
          <w:szCs w:val="20"/>
        </w:rPr>
        <w:tab/>
        <w:t>Interaction with students, staff, and/or other visitors is prohibited with the exception of designated administrators.</w:t>
      </w:r>
    </w:p>
    <w:p w:rsidR="00E4078C" w:rsidRDefault="009760CB">
      <w:pPr>
        <w:pStyle w:val="BodyTextFlush"/>
        <w:spacing w:before="0"/>
        <w:ind w:left="720" w:hanging="720"/>
        <w:rPr>
          <w:sz w:val="20"/>
          <w:szCs w:val="20"/>
        </w:rPr>
      </w:pPr>
      <w:r>
        <w:rPr>
          <w:sz w:val="20"/>
          <w:szCs w:val="20"/>
        </w:rPr>
        <w:t>3.</w:t>
      </w:r>
      <w:r>
        <w:rPr>
          <w:sz w:val="20"/>
          <w:szCs w:val="20"/>
        </w:rPr>
        <w:tab/>
        <w:t>The use of profanity and/or dispar</w:t>
      </w:r>
      <w:r>
        <w:rPr>
          <w:sz w:val="20"/>
          <w:szCs w:val="20"/>
        </w:rPr>
        <w:t>aging language will not be tolerated.</w:t>
      </w:r>
    </w:p>
    <w:p w:rsidR="00E4078C" w:rsidRDefault="009760CB">
      <w:pPr>
        <w:pStyle w:val="BodyTextFlush"/>
        <w:spacing w:before="0"/>
        <w:ind w:left="720" w:hanging="720"/>
        <w:rPr>
          <w:sz w:val="20"/>
          <w:szCs w:val="20"/>
        </w:rPr>
      </w:pPr>
      <w:r>
        <w:rPr>
          <w:sz w:val="20"/>
          <w:szCs w:val="20"/>
        </w:rPr>
        <w:t>4.</w:t>
      </w:r>
      <w:r>
        <w:rPr>
          <w:sz w:val="20"/>
          <w:szCs w:val="20"/>
        </w:rPr>
        <w:tab/>
        <w:t>All contractors/subcontractors shall wear a means of identification on site when school is in session which must be approved by the District prior to commencement of work.</w:t>
      </w:r>
    </w:p>
    <w:p w:rsidR="00E4078C" w:rsidRDefault="009760CB">
      <w:pPr>
        <w:pStyle w:val="BodyTextFlush"/>
        <w:spacing w:before="0"/>
        <w:ind w:left="720" w:hanging="720"/>
        <w:rPr>
          <w:sz w:val="20"/>
          <w:szCs w:val="20"/>
        </w:rPr>
      </w:pPr>
      <w:r>
        <w:rPr>
          <w:sz w:val="20"/>
          <w:szCs w:val="20"/>
        </w:rPr>
        <w:t>5.</w:t>
      </w:r>
      <w:r>
        <w:rPr>
          <w:sz w:val="20"/>
          <w:szCs w:val="20"/>
        </w:rPr>
        <w:tab/>
        <w:t>All contractors/subcontractors shall rem</w:t>
      </w:r>
      <w:r>
        <w:rPr>
          <w:sz w:val="20"/>
          <w:szCs w:val="20"/>
        </w:rPr>
        <w:t xml:space="preserve">ain in the vicinity of his/her work and will not stray to other areas of the property not involved in the </w:t>
      </w:r>
      <w:r>
        <w:rPr>
          <w:sz w:val="20"/>
          <w:szCs w:val="20"/>
        </w:rPr>
        <w:t>Project</w:t>
      </w:r>
      <w:r>
        <w:rPr>
          <w:sz w:val="20"/>
          <w:szCs w:val="20"/>
        </w:rPr>
        <w:t>, including student and staff toilet facilities.</w:t>
      </w:r>
    </w:p>
    <w:p w:rsidR="00E4078C" w:rsidRDefault="009760CB">
      <w:pPr>
        <w:pStyle w:val="BodyTextFlush"/>
        <w:spacing w:before="0"/>
        <w:ind w:left="720" w:hanging="720"/>
        <w:rPr>
          <w:sz w:val="20"/>
          <w:szCs w:val="20"/>
        </w:rPr>
      </w:pPr>
      <w:r>
        <w:rPr>
          <w:sz w:val="20"/>
          <w:szCs w:val="20"/>
        </w:rPr>
        <w:t>6.</w:t>
      </w:r>
      <w:r>
        <w:rPr>
          <w:sz w:val="20"/>
          <w:szCs w:val="20"/>
        </w:rPr>
        <w:tab/>
        <w:t xml:space="preserve">Pursuant to Government Code </w:t>
      </w:r>
      <w:r>
        <w:rPr>
          <w:sz w:val="20"/>
          <w:szCs w:val="20"/>
        </w:rPr>
        <w:t>section</w:t>
      </w:r>
      <w:r>
        <w:rPr>
          <w:sz w:val="20"/>
          <w:szCs w:val="20"/>
        </w:rPr>
        <w:t xml:space="preserve"> 8350 et seq., the </w:t>
      </w:r>
      <w:r>
        <w:rPr>
          <w:sz w:val="20"/>
          <w:szCs w:val="20"/>
        </w:rPr>
        <w:t xml:space="preserve">Woodland Joint Unified </w:t>
      </w:r>
      <w:r>
        <w:rPr>
          <w:sz w:val="20"/>
          <w:szCs w:val="20"/>
        </w:rPr>
        <w:t xml:space="preserve">School </w:t>
      </w:r>
      <w:r>
        <w:rPr>
          <w:sz w:val="20"/>
          <w:szCs w:val="20"/>
        </w:rPr>
        <w:t>District is a drug-free workplace.  This policy shall be strictly enforced.</w:t>
      </w:r>
    </w:p>
    <w:p w:rsidR="00E4078C" w:rsidRDefault="009760CB">
      <w:pPr>
        <w:pStyle w:val="BodyTextFlush"/>
        <w:spacing w:before="0"/>
        <w:ind w:left="720" w:hanging="720"/>
        <w:rPr>
          <w:sz w:val="20"/>
          <w:szCs w:val="20"/>
        </w:rPr>
      </w:pPr>
      <w:r>
        <w:rPr>
          <w:sz w:val="20"/>
          <w:szCs w:val="20"/>
        </w:rPr>
        <w:t>7.</w:t>
      </w:r>
      <w:r>
        <w:rPr>
          <w:sz w:val="20"/>
          <w:szCs w:val="20"/>
        </w:rPr>
        <w:tab/>
        <w:t>Alcoholic beverages are prohibited from being consumed or brought on any District property.</w:t>
      </w:r>
    </w:p>
    <w:p w:rsidR="00E4078C" w:rsidRDefault="009760CB">
      <w:pPr>
        <w:pStyle w:val="BodyTextFlush"/>
        <w:spacing w:before="0"/>
        <w:ind w:left="720" w:hanging="720"/>
        <w:rPr>
          <w:sz w:val="20"/>
          <w:szCs w:val="20"/>
        </w:rPr>
      </w:pPr>
      <w:r>
        <w:rPr>
          <w:sz w:val="20"/>
          <w:szCs w:val="20"/>
        </w:rPr>
        <w:t>8.</w:t>
      </w:r>
      <w:r>
        <w:rPr>
          <w:sz w:val="20"/>
          <w:szCs w:val="20"/>
        </w:rPr>
        <w:tab/>
        <w:t>The use of any tobacco products on District property is strictly prohibited.</w:t>
      </w:r>
    </w:p>
    <w:p w:rsidR="00E4078C" w:rsidRDefault="009760CB">
      <w:pPr>
        <w:pStyle w:val="BodyTextFlush"/>
        <w:spacing w:before="0"/>
        <w:ind w:left="720" w:hanging="720"/>
        <w:rPr>
          <w:sz w:val="20"/>
          <w:szCs w:val="20"/>
        </w:rPr>
      </w:pPr>
      <w:r>
        <w:rPr>
          <w:sz w:val="20"/>
          <w:szCs w:val="20"/>
        </w:rPr>
        <w:t>9.</w:t>
      </w:r>
      <w:r>
        <w:rPr>
          <w:sz w:val="20"/>
          <w:szCs w:val="20"/>
        </w:rPr>
        <w:tab/>
        <w:t>An</w:t>
      </w:r>
      <w:r>
        <w:rPr>
          <w:sz w:val="20"/>
          <w:szCs w:val="20"/>
        </w:rPr>
        <w:t>y lewd, obscene or otherwise indecent acts, words, or behavior by any contractor/subcontractor shall not be tolerated.</w:t>
      </w:r>
    </w:p>
    <w:p w:rsidR="00E4078C" w:rsidRDefault="009760CB">
      <w:pPr>
        <w:pStyle w:val="BodyTextFlush"/>
        <w:spacing w:before="0"/>
        <w:ind w:left="720" w:hanging="720"/>
        <w:rPr>
          <w:sz w:val="20"/>
          <w:szCs w:val="20"/>
        </w:rPr>
      </w:pPr>
      <w:r>
        <w:rPr>
          <w:sz w:val="20"/>
          <w:szCs w:val="20"/>
        </w:rPr>
        <w:t>10.</w:t>
      </w:r>
      <w:r>
        <w:rPr>
          <w:sz w:val="20"/>
          <w:szCs w:val="20"/>
        </w:rPr>
        <w:tab/>
        <w:t>All contractors/subcontractors shall conform to a dress code whereby:</w:t>
      </w:r>
    </w:p>
    <w:p w:rsidR="00E4078C" w:rsidRDefault="009760CB">
      <w:pPr>
        <w:pStyle w:val="BodyTextFlush"/>
        <w:spacing w:before="0"/>
        <w:ind w:left="1440" w:hanging="720"/>
        <w:rPr>
          <w:sz w:val="20"/>
          <w:szCs w:val="20"/>
        </w:rPr>
      </w:pPr>
      <w:r>
        <w:rPr>
          <w:sz w:val="20"/>
          <w:szCs w:val="20"/>
        </w:rPr>
        <w:t>A.</w:t>
      </w:r>
      <w:r>
        <w:rPr>
          <w:sz w:val="20"/>
          <w:szCs w:val="20"/>
        </w:rPr>
        <w:tab/>
        <w:t xml:space="preserve">No clothing that contains violent, suggestive, derogatory, </w:t>
      </w:r>
      <w:r>
        <w:rPr>
          <w:sz w:val="20"/>
          <w:szCs w:val="20"/>
        </w:rPr>
        <w:t>obscene, or racially-biased material may be worn.</w:t>
      </w:r>
    </w:p>
    <w:p w:rsidR="00E4078C" w:rsidRDefault="009760CB">
      <w:pPr>
        <w:pStyle w:val="BodyTextFlush"/>
        <w:spacing w:before="0"/>
        <w:ind w:left="1440" w:hanging="720"/>
        <w:rPr>
          <w:sz w:val="20"/>
          <w:szCs w:val="20"/>
        </w:rPr>
      </w:pPr>
      <w:r>
        <w:rPr>
          <w:sz w:val="20"/>
          <w:szCs w:val="20"/>
        </w:rPr>
        <w:t>B.</w:t>
      </w:r>
      <w:r>
        <w:rPr>
          <w:sz w:val="20"/>
          <w:szCs w:val="20"/>
        </w:rPr>
        <w:tab/>
        <w:t>Garments, accessories or personal grooming artifacts with slogans, graphics, or pictures promoting drugs, alcohol, tobacco, or any other controlled substances which are prohibited to minors will not be a</w:t>
      </w:r>
      <w:r>
        <w:rPr>
          <w:sz w:val="20"/>
          <w:szCs w:val="20"/>
        </w:rPr>
        <w:t>llowed.</w:t>
      </w:r>
    </w:p>
    <w:p w:rsidR="00E4078C" w:rsidRDefault="009760CB">
      <w:pPr>
        <w:pStyle w:val="BodyTextFlush"/>
        <w:spacing w:before="0"/>
        <w:rPr>
          <w:sz w:val="20"/>
          <w:szCs w:val="20"/>
        </w:rPr>
      </w:pPr>
      <w:r>
        <w:rPr>
          <w:sz w:val="20"/>
          <w:szCs w:val="20"/>
        </w:rPr>
        <w:t>11.</w:t>
      </w:r>
      <w:r>
        <w:rPr>
          <w:sz w:val="20"/>
          <w:szCs w:val="20"/>
        </w:rPr>
        <w:tab/>
        <w:t>No fire</w:t>
      </w:r>
      <w:r>
        <w:rPr>
          <w:sz w:val="20"/>
          <w:szCs w:val="20"/>
        </w:rPr>
        <w:t>arms are allowed on campuses/District property.</w:t>
      </w:r>
    </w:p>
    <w:p w:rsidR="00E4078C" w:rsidRDefault="009760CB">
      <w:pPr>
        <w:pStyle w:val="BodyTextFlush"/>
        <w:spacing w:before="0"/>
        <w:ind w:left="720" w:hanging="720"/>
        <w:rPr>
          <w:sz w:val="20"/>
          <w:szCs w:val="20"/>
        </w:rPr>
      </w:pPr>
      <w:r>
        <w:rPr>
          <w:sz w:val="20"/>
          <w:szCs w:val="20"/>
        </w:rPr>
        <w:t>12.</w:t>
      </w:r>
      <w:r>
        <w:rPr>
          <w:sz w:val="20"/>
          <w:szCs w:val="20"/>
        </w:rPr>
        <w:tab/>
        <w:t xml:space="preserve">All contractors/subcontractors shall comply with Education Code section 45125 et </w:t>
      </w:r>
      <w:r>
        <w:rPr>
          <w:sz w:val="20"/>
          <w:szCs w:val="20"/>
        </w:rPr>
        <w:t>seq. with respect to all finger</w:t>
      </w:r>
      <w:r>
        <w:rPr>
          <w:sz w:val="20"/>
          <w:szCs w:val="20"/>
        </w:rPr>
        <w:t>printing requirements.</w:t>
      </w:r>
    </w:p>
    <w:p w:rsidR="00E4078C" w:rsidRDefault="009760CB">
      <w:pPr>
        <w:pStyle w:val="BodyTextFlush"/>
        <w:spacing w:before="200"/>
        <w:rPr>
          <w:sz w:val="20"/>
          <w:szCs w:val="20"/>
        </w:rPr>
      </w:pPr>
      <w:r>
        <w:rPr>
          <w:sz w:val="20"/>
          <w:szCs w:val="20"/>
        </w:rPr>
        <w:t xml:space="preserve">Non-compliance with any of the above-stated rules </w:t>
      </w:r>
      <w:r>
        <w:rPr>
          <w:sz w:val="20"/>
          <w:szCs w:val="20"/>
        </w:rPr>
        <w:t>of conduct by any contractor/subcontractor may be sufficient grounds for immediate removal from the job site and termination of the contract.</w:t>
      </w:r>
    </w:p>
    <w:p w:rsidR="00E4078C" w:rsidRDefault="009760CB">
      <w:pPr>
        <w:pStyle w:val="BodyTextFlush"/>
        <w:spacing w:before="200"/>
        <w:rPr>
          <w:sz w:val="20"/>
          <w:szCs w:val="20"/>
        </w:rPr>
      </w:pPr>
      <w:r>
        <w:rPr>
          <w:sz w:val="20"/>
          <w:szCs w:val="20"/>
        </w:rPr>
        <w:t>I acknowledge that I am aware of the above-stated rules of conduct and hereby certify that all of my Company’s emp</w:t>
      </w:r>
      <w:r>
        <w:rPr>
          <w:sz w:val="20"/>
          <w:szCs w:val="20"/>
        </w:rPr>
        <w:t>loyees, consultants, suppliers, and/or any subcontractors will adhere to these provisions.</w:t>
      </w:r>
    </w:p>
    <w:p w:rsidR="00E4078C" w:rsidRDefault="009760CB">
      <w:pPr>
        <w:pStyle w:val="BodyTextFlush"/>
        <w:spacing w:before="200"/>
        <w:rPr>
          <w:sz w:val="20"/>
          <w:szCs w:val="20"/>
        </w:rPr>
      </w:pPr>
    </w:p>
    <w:p w:rsidR="00E4078C" w:rsidRDefault="009760CB">
      <w:pPr>
        <w:pStyle w:val="BodyTextFlush"/>
        <w:spacing w:before="200"/>
        <w:rPr>
          <w:sz w:val="20"/>
          <w:szCs w:val="20"/>
        </w:rPr>
      </w:pPr>
      <w:r>
        <w:rPr>
          <w:sz w:val="20"/>
          <w:szCs w:val="20"/>
        </w:rPr>
        <w:t>________________________</w:t>
      </w:r>
      <w:r>
        <w:rPr>
          <w:sz w:val="20"/>
          <w:szCs w:val="20"/>
        </w:rPr>
        <w:tab/>
      </w:r>
      <w:r>
        <w:rPr>
          <w:sz w:val="20"/>
          <w:szCs w:val="20"/>
        </w:rPr>
        <w:tab/>
      </w:r>
      <w:r>
        <w:rPr>
          <w:sz w:val="20"/>
          <w:szCs w:val="20"/>
        </w:rPr>
        <w:tab/>
        <w:t>_________________________________</w:t>
      </w:r>
      <w:r>
        <w:rPr>
          <w:sz w:val="20"/>
          <w:szCs w:val="20"/>
        </w:rPr>
        <w:br/>
        <w:t>Date</w:t>
      </w:r>
      <w:r>
        <w:rPr>
          <w:sz w:val="20"/>
          <w:szCs w:val="20"/>
        </w:rPr>
        <w:tab/>
      </w:r>
      <w:r>
        <w:rPr>
          <w:sz w:val="20"/>
          <w:szCs w:val="20"/>
        </w:rPr>
        <w:tab/>
      </w:r>
      <w:r>
        <w:rPr>
          <w:sz w:val="20"/>
          <w:szCs w:val="20"/>
        </w:rPr>
        <w:tab/>
      </w:r>
      <w:r>
        <w:rPr>
          <w:sz w:val="20"/>
          <w:szCs w:val="20"/>
        </w:rPr>
        <w:tab/>
      </w:r>
      <w:r>
        <w:rPr>
          <w:sz w:val="20"/>
          <w:szCs w:val="20"/>
        </w:rPr>
        <w:tab/>
      </w:r>
      <w:r>
        <w:rPr>
          <w:sz w:val="20"/>
          <w:szCs w:val="20"/>
        </w:rPr>
        <w:tab/>
        <w:t>Authorized Signature</w:t>
      </w:r>
    </w:p>
    <w:p w:rsidR="00E4078C" w:rsidRDefault="009760CB">
      <w:pPr>
        <w:pStyle w:val="BodyTextFlush"/>
        <w:spacing w:before="200"/>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t>___________________________________</w:t>
      </w:r>
      <w:r>
        <w:rPr>
          <w:sz w:val="20"/>
          <w:szCs w:val="20"/>
        </w:rPr>
        <w:br/>
      </w:r>
      <w:r>
        <w:rPr>
          <w:sz w:val="20"/>
          <w:szCs w:val="20"/>
        </w:rPr>
        <w:tab/>
      </w:r>
      <w:r>
        <w:rPr>
          <w:sz w:val="20"/>
          <w:szCs w:val="20"/>
        </w:rPr>
        <w:tab/>
      </w:r>
      <w:r>
        <w:rPr>
          <w:sz w:val="20"/>
          <w:szCs w:val="20"/>
        </w:rPr>
        <w:tab/>
      </w:r>
      <w:r>
        <w:rPr>
          <w:sz w:val="20"/>
          <w:szCs w:val="20"/>
        </w:rPr>
        <w:tab/>
      </w:r>
      <w:r>
        <w:rPr>
          <w:sz w:val="20"/>
          <w:szCs w:val="20"/>
        </w:rPr>
        <w:tab/>
      </w:r>
      <w:r>
        <w:rPr>
          <w:sz w:val="20"/>
          <w:szCs w:val="20"/>
        </w:rPr>
        <w:tab/>
        <w:t>Print Name</w:t>
      </w:r>
    </w:p>
    <w:p w:rsidR="00E4078C" w:rsidRDefault="009760CB">
      <w:pPr>
        <w:pStyle w:val="BodyTextFlush"/>
        <w:spacing w:before="200"/>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t>_______</w:t>
      </w:r>
      <w:r>
        <w:rPr>
          <w:sz w:val="20"/>
          <w:szCs w:val="20"/>
        </w:rPr>
        <w:t>____________________________</w:t>
      </w:r>
      <w:r>
        <w:rPr>
          <w:sz w:val="20"/>
          <w:szCs w:val="20"/>
        </w:rPr>
        <w:br/>
      </w:r>
      <w:r>
        <w:rPr>
          <w:sz w:val="20"/>
          <w:szCs w:val="20"/>
        </w:rPr>
        <w:tab/>
      </w:r>
      <w:r>
        <w:rPr>
          <w:sz w:val="20"/>
          <w:szCs w:val="20"/>
        </w:rPr>
        <w:tab/>
      </w:r>
      <w:r>
        <w:rPr>
          <w:sz w:val="20"/>
          <w:szCs w:val="20"/>
        </w:rPr>
        <w:tab/>
      </w:r>
      <w:r>
        <w:rPr>
          <w:sz w:val="20"/>
          <w:szCs w:val="20"/>
        </w:rPr>
        <w:tab/>
      </w:r>
      <w:r>
        <w:rPr>
          <w:sz w:val="20"/>
          <w:szCs w:val="20"/>
        </w:rPr>
        <w:tab/>
      </w:r>
      <w:r>
        <w:rPr>
          <w:sz w:val="20"/>
          <w:szCs w:val="20"/>
        </w:rPr>
        <w:tab/>
        <w:t>Company</w:t>
      </w:r>
    </w:p>
    <w:p w:rsidR="00E4078C" w:rsidRDefault="009760CB" w:rsidP="001025A6">
      <w:pPr>
        <w:pStyle w:val="Title"/>
        <w:spacing w:before="200"/>
        <w:jc w:val="left"/>
        <w:rPr>
          <w:i/>
          <w:sz w:val="20"/>
          <w:szCs w:val="20"/>
        </w:rPr>
      </w:pPr>
    </w:p>
    <w:p w:rsidR="00E4078C" w:rsidRDefault="009760CB">
      <w:pPr>
        <w:pStyle w:val="BodyTextFlush"/>
        <w:spacing w:before="200"/>
        <w:jc w:val="center"/>
        <w:rPr>
          <w:b/>
          <w:sz w:val="20"/>
          <w:szCs w:val="20"/>
          <w:u w:val="single"/>
        </w:rPr>
      </w:pPr>
      <w:r>
        <w:rPr>
          <w:sz w:val="20"/>
          <w:szCs w:val="20"/>
        </w:rPr>
        <w:br w:type="page"/>
      </w:r>
      <w:r>
        <w:rPr>
          <w:b/>
          <w:sz w:val="20"/>
          <w:szCs w:val="20"/>
          <w:u w:val="single"/>
        </w:rPr>
        <w:lastRenderedPageBreak/>
        <w:t>Division 1 Forms</w:t>
      </w:r>
    </w:p>
    <w:p w:rsidR="00E4078C" w:rsidRDefault="009760CB">
      <w:pPr>
        <w:pStyle w:val="BodyTextFlush"/>
        <w:spacing w:before="200"/>
        <w:jc w:val="center"/>
        <w:rPr>
          <w:sz w:val="20"/>
          <w:szCs w:val="20"/>
        </w:rPr>
      </w:pPr>
      <w:r>
        <w:rPr>
          <w:sz w:val="20"/>
          <w:szCs w:val="20"/>
        </w:rPr>
        <w:t>IMMEDIATE CONSTRUCTION CHANGE DIRECTIVE NO.</w:t>
      </w:r>
    </w:p>
    <w:p w:rsidR="00E4078C" w:rsidRDefault="009760CB">
      <w:pPr>
        <w:pStyle w:val="BodyTextFlush"/>
        <w:spacing w:before="200"/>
        <w:rPr>
          <w:sz w:val="20"/>
          <w:szCs w:val="20"/>
        </w:rPr>
      </w:pPr>
      <w:r>
        <w:rPr>
          <w:sz w:val="20"/>
          <w:szCs w:val="20"/>
        </w:rPr>
        <w:t xml:space="preserve">PROJECT: </w:t>
      </w:r>
      <w:bookmarkStart w:id="291" w:name="_GoBack"/>
      <w:bookmarkEnd w:id="291"/>
    </w:p>
    <w:p w:rsidR="00E4078C" w:rsidRDefault="009760CB">
      <w:pPr>
        <w:pStyle w:val="BodyTextFlush"/>
        <w:spacing w:before="200"/>
        <w:rPr>
          <w:sz w:val="20"/>
          <w:szCs w:val="20"/>
        </w:rPr>
      </w:pPr>
      <w:r>
        <w:rPr>
          <w:sz w:val="20"/>
          <w:szCs w:val="20"/>
        </w:rPr>
        <w:t>TO: __________________________________________________________________________</w:t>
      </w:r>
    </w:p>
    <w:p w:rsidR="00E4078C" w:rsidRDefault="009760CB">
      <w:pPr>
        <w:pStyle w:val="BodyTextFlush"/>
        <w:spacing w:before="200"/>
        <w:rPr>
          <w:sz w:val="20"/>
          <w:szCs w:val="20"/>
        </w:rPr>
      </w:pPr>
      <w:r>
        <w:rPr>
          <w:sz w:val="20"/>
          <w:szCs w:val="20"/>
        </w:rPr>
        <w:t>You are hereby d</w:t>
      </w:r>
      <w:r>
        <w:rPr>
          <w:sz w:val="20"/>
          <w:szCs w:val="20"/>
        </w:rPr>
        <w:t>irected to provide the extra work necessary to comply with this ICD.</w:t>
      </w:r>
    </w:p>
    <w:p w:rsidR="00E4078C" w:rsidRDefault="009760CB">
      <w:pPr>
        <w:pStyle w:val="BodyTextFlush"/>
        <w:spacing w:before="200"/>
        <w:rPr>
          <w:sz w:val="20"/>
          <w:szCs w:val="20"/>
        </w:rPr>
      </w:pPr>
      <w:r>
        <w:rPr>
          <w:sz w:val="20"/>
          <w:szCs w:val="20"/>
        </w:rPr>
        <w:t>DESCRIPTION OF CHANGE: ____________________________________________________</w:t>
      </w:r>
    </w:p>
    <w:p w:rsidR="00E4078C" w:rsidRDefault="009760CB">
      <w:pPr>
        <w:pStyle w:val="BodyTextFlush"/>
        <w:spacing w:before="200"/>
        <w:rPr>
          <w:sz w:val="20"/>
          <w:szCs w:val="20"/>
        </w:rPr>
      </w:pPr>
      <w:r>
        <w:rPr>
          <w:sz w:val="20"/>
          <w:szCs w:val="20"/>
        </w:rPr>
        <w:t>______________________________________________________________________________</w:t>
      </w:r>
    </w:p>
    <w:p w:rsidR="00E4078C" w:rsidRDefault="009760CB">
      <w:pPr>
        <w:pStyle w:val="BodyTextFlush"/>
        <w:spacing w:before="200"/>
        <w:rPr>
          <w:sz w:val="20"/>
          <w:szCs w:val="20"/>
        </w:rPr>
      </w:pPr>
      <w:r>
        <w:rPr>
          <w:sz w:val="20"/>
          <w:szCs w:val="20"/>
        </w:rPr>
        <w:t>COST (This cost shall not be exc</w:t>
      </w:r>
      <w:r>
        <w:rPr>
          <w:sz w:val="20"/>
          <w:szCs w:val="20"/>
        </w:rPr>
        <w:t>eeded): _____________________________________________</w:t>
      </w:r>
    </w:p>
    <w:p w:rsidR="00E4078C" w:rsidRDefault="009760CB">
      <w:pPr>
        <w:pStyle w:val="BodyTextFlush"/>
        <w:spacing w:before="200"/>
        <w:rPr>
          <w:sz w:val="20"/>
          <w:szCs w:val="20"/>
        </w:rPr>
      </w:pPr>
    </w:p>
    <w:p w:rsidR="00E4078C" w:rsidRDefault="009760CB">
      <w:pPr>
        <w:pStyle w:val="BodyTextFlush"/>
        <w:spacing w:before="200"/>
        <w:rPr>
          <w:sz w:val="20"/>
          <w:szCs w:val="20"/>
        </w:rPr>
      </w:pPr>
      <w:r>
        <w:rPr>
          <w:sz w:val="20"/>
          <w:szCs w:val="20"/>
        </w:rPr>
        <w:t>TIME FOR COMPLETION: ______________________________________________________</w:t>
      </w:r>
    </w:p>
    <w:p w:rsidR="00E4078C" w:rsidRDefault="009760CB">
      <w:pPr>
        <w:pStyle w:val="BodyTextFlush"/>
        <w:spacing w:before="200"/>
        <w:rPr>
          <w:sz w:val="20"/>
          <w:szCs w:val="20"/>
        </w:rPr>
      </w:pPr>
      <w:r>
        <w:rPr>
          <w:sz w:val="20"/>
          <w:szCs w:val="20"/>
        </w:rPr>
        <w:t>NOTE:</w:t>
      </w:r>
    </w:p>
    <w:p w:rsidR="00E4078C" w:rsidRDefault="009760CB">
      <w:pPr>
        <w:pStyle w:val="BodyTextFlush"/>
        <w:spacing w:before="200"/>
        <w:rPr>
          <w:sz w:val="20"/>
          <w:szCs w:val="20"/>
        </w:rPr>
      </w:pPr>
      <w:r>
        <w:rPr>
          <w:sz w:val="20"/>
          <w:szCs w:val="20"/>
        </w:rPr>
        <w:t xml:space="preserve">Pursuant to Article </w:t>
      </w:r>
      <w:r>
        <w:rPr>
          <w:sz w:val="20"/>
          <w:szCs w:val="20"/>
        </w:rPr>
        <w:t>17.4.1.2</w:t>
      </w:r>
      <w:r>
        <w:rPr>
          <w:sz w:val="20"/>
          <w:szCs w:val="20"/>
        </w:rPr>
        <w:t xml:space="preserve"> An Immediate Change Directive is a written order to the Contractor prepared by the Archite</w:t>
      </w:r>
      <w:r>
        <w:rPr>
          <w:sz w:val="20"/>
          <w:szCs w:val="20"/>
        </w:rPr>
        <w:t>ct and signed by the District (and CM if there is a CM on the Project) and the Architect, directing a change in the Work and stating a proposed basis for adjustment, if any, in the Contract Sum or Contract Time, or both. The District may by ICD, without in</w:t>
      </w:r>
      <w:r>
        <w:rPr>
          <w:sz w:val="20"/>
          <w:szCs w:val="20"/>
        </w:rPr>
        <w:t>validating the Contract, direct immediate changes in the Work within the general scope of the Contract consisting of additions, deletions, or other revisions within.  If applicable, the Contract Sum and Contract Time will be adjusted accordingly.  CONTRACT</w:t>
      </w:r>
      <w:r>
        <w:rPr>
          <w:sz w:val="20"/>
          <w:szCs w:val="20"/>
        </w:rPr>
        <w:t xml:space="preserve">OR SHALL PROCEED WITH WORK SET FORTH IN THIS ICD IMMEDIATELY UPON RECEIPT OR THE DISTRICT MAY EITHER HOLD THE CONTRACTOR IN EITHER </w:t>
      </w:r>
      <w:r w:rsidRPr="000F30DE">
        <w:rPr>
          <w:sz w:val="20"/>
          <w:szCs w:val="20"/>
        </w:rPr>
        <w:t>PARTIAL DEFAULT</w:t>
      </w:r>
      <w:r>
        <w:rPr>
          <w:sz w:val="20"/>
          <w:szCs w:val="20"/>
        </w:rPr>
        <w:t xml:space="preserve"> PURSUANT TO ARTICLE </w:t>
      </w:r>
      <w:r>
        <w:rPr>
          <w:sz w:val="20"/>
          <w:szCs w:val="20"/>
        </w:rPr>
        <w:t>12.2</w:t>
      </w:r>
      <w:r>
        <w:rPr>
          <w:sz w:val="20"/>
          <w:szCs w:val="20"/>
        </w:rPr>
        <w:t xml:space="preserve"> OR TOTAL DEFAULT PURSUANT TO ARTICLE </w:t>
      </w:r>
      <w:r>
        <w:rPr>
          <w:sz w:val="20"/>
          <w:szCs w:val="20"/>
        </w:rPr>
        <w:t>19</w:t>
      </w:r>
      <w:r>
        <w:rPr>
          <w:sz w:val="20"/>
          <w:szCs w:val="20"/>
        </w:rPr>
        <w:t>.</w:t>
      </w:r>
    </w:p>
    <w:p w:rsidR="00E4078C" w:rsidRDefault="009760CB">
      <w:pPr>
        <w:pStyle w:val="BodyTextFlush"/>
        <w:spacing w:before="200"/>
        <w:rPr>
          <w:sz w:val="20"/>
          <w:szCs w:val="20"/>
        </w:rPr>
      </w:pPr>
    </w:p>
    <w:p w:rsidR="00E4078C" w:rsidRDefault="009760CB">
      <w:pPr>
        <w:pStyle w:val="BodyTextFlush"/>
        <w:spacing w:before="200"/>
        <w:rPr>
          <w:sz w:val="20"/>
          <w:szCs w:val="20"/>
        </w:rPr>
      </w:pPr>
      <w:r>
        <w:rPr>
          <w:sz w:val="20"/>
          <w:szCs w:val="20"/>
        </w:rPr>
        <w:t>_________________________________</w:t>
      </w:r>
      <w:r>
        <w:rPr>
          <w:sz w:val="20"/>
          <w:szCs w:val="20"/>
        </w:rPr>
        <w:br/>
      </w:r>
      <w:r>
        <w:rPr>
          <w:sz w:val="20"/>
          <w:szCs w:val="20"/>
        </w:rPr>
        <w:t>Architect</w:t>
      </w:r>
    </w:p>
    <w:p w:rsidR="00E4078C" w:rsidRDefault="009760CB">
      <w:pPr>
        <w:pStyle w:val="BodyTextFlush"/>
        <w:spacing w:before="200"/>
        <w:rPr>
          <w:sz w:val="20"/>
          <w:szCs w:val="20"/>
        </w:rPr>
      </w:pPr>
    </w:p>
    <w:p w:rsidR="00E4078C" w:rsidRDefault="009760CB">
      <w:pPr>
        <w:pStyle w:val="BodyTextFlush"/>
        <w:spacing w:before="200"/>
        <w:rPr>
          <w:sz w:val="20"/>
          <w:szCs w:val="20"/>
        </w:rPr>
      </w:pPr>
      <w:r>
        <w:rPr>
          <w:sz w:val="20"/>
          <w:szCs w:val="20"/>
        </w:rPr>
        <w:t>_______________________________</w:t>
      </w:r>
      <w:r>
        <w:rPr>
          <w:sz w:val="20"/>
          <w:szCs w:val="20"/>
        </w:rPr>
        <w:br/>
        <w:t>District </w:t>
      </w:r>
    </w:p>
    <w:p w:rsidR="00E4078C" w:rsidRDefault="009760CB">
      <w:pPr>
        <w:pStyle w:val="Title"/>
        <w:spacing w:before="200"/>
        <w:rPr>
          <w:sz w:val="20"/>
          <w:szCs w:val="20"/>
        </w:rPr>
      </w:pPr>
      <w:r>
        <w:rPr>
          <w:sz w:val="20"/>
          <w:szCs w:val="20"/>
        </w:rPr>
        <w:br w:type="page"/>
      </w:r>
      <w:bookmarkStart w:id="292" w:name="_Toc365549892"/>
      <w:r>
        <w:rPr>
          <w:sz w:val="20"/>
          <w:szCs w:val="20"/>
        </w:rPr>
        <w:lastRenderedPageBreak/>
        <w:t>CERTIFICATE OF SUBSTANTIAL COMPLETION</w:t>
      </w:r>
      <w:bookmarkEnd w:id="292"/>
    </w:p>
    <w:p w:rsidR="00E4078C" w:rsidRDefault="009760CB">
      <w:pPr>
        <w:pStyle w:val="BodyTextFlush"/>
        <w:spacing w:before="200"/>
        <w:rPr>
          <w:sz w:val="20"/>
          <w:szCs w:val="20"/>
        </w:rPr>
      </w:pPr>
    </w:p>
    <w:p w:rsidR="009760CB" w:rsidRDefault="009760CB">
      <w:pPr>
        <w:pStyle w:val="BodyTextFlush"/>
        <w:spacing w:before="200"/>
        <w:rPr>
          <w:sz w:val="20"/>
          <w:szCs w:val="20"/>
        </w:rPr>
      </w:pPr>
      <w:r>
        <w:rPr>
          <w:sz w:val="20"/>
          <w:szCs w:val="20"/>
        </w:rPr>
        <w:t>PROJECT:</w:t>
      </w:r>
    </w:p>
    <w:p w:rsidR="00E4078C" w:rsidRDefault="009760CB">
      <w:pPr>
        <w:pStyle w:val="BodyTextFlush"/>
        <w:spacing w:before="200"/>
        <w:rPr>
          <w:sz w:val="20"/>
          <w:szCs w:val="20"/>
        </w:rPr>
      </w:pPr>
      <w:r>
        <w:rPr>
          <w:sz w:val="20"/>
          <w:szCs w:val="20"/>
        </w:rPr>
        <w:t>TO: __________________________________________________________________________</w:t>
      </w:r>
    </w:p>
    <w:p w:rsidR="00E4078C" w:rsidRDefault="009760CB">
      <w:pPr>
        <w:pStyle w:val="BodyTextFlush"/>
        <w:spacing w:before="200"/>
        <w:rPr>
          <w:sz w:val="20"/>
          <w:szCs w:val="20"/>
        </w:rPr>
      </w:pPr>
    </w:p>
    <w:p w:rsidR="00E4078C" w:rsidRDefault="009760CB">
      <w:pPr>
        <w:pStyle w:val="BodyTextFlush"/>
        <w:spacing w:before="200"/>
        <w:rPr>
          <w:sz w:val="20"/>
          <w:szCs w:val="20"/>
        </w:rPr>
      </w:pPr>
      <w:r>
        <w:rPr>
          <w:sz w:val="20"/>
          <w:szCs w:val="20"/>
        </w:rPr>
        <w:t>As the Architect for the Pro</w:t>
      </w:r>
      <w:r>
        <w:rPr>
          <w:sz w:val="20"/>
          <w:szCs w:val="20"/>
        </w:rPr>
        <w:t>ject described above, the Project has reached Substantial Completion.  Substantial Completion is not reached unless and until each of the following three (3) conditions have been met:  (1) all contractually required items have been installed with the excep</w:t>
      </w:r>
      <w:r>
        <w:rPr>
          <w:sz w:val="20"/>
          <w:szCs w:val="20"/>
        </w:rPr>
        <w:t xml:space="preserve">tion of only minor and Incomplete Punch Items (See Article </w:t>
      </w:r>
      <w:r>
        <w:rPr>
          <w:sz w:val="20"/>
          <w:szCs w:val="20"/>
        </w:rPr>
        <w:t>13.16</w:t>
      </w:r>
      <w:r>
        <w:rPr>
          <w:sz w:val="20"/>
          <w:szCs w:val="20"/>
        </w:rPr>
        <w:t xml:space="preserve"> of the Construction Services Agreement); (2) All Fire/Life Safety Systems have been installed, and are working and signed off on the DSA Form 152 Inspection Card, all building systems includi</w:t>
      </w:r>
      <w:r>
        <w:rPr>
          <w:sz w:val="20"/>
          <w:szCs w:val="20"/>
        </w:rPr>
        <w:t>ng mechanical, electrical and plumbing are all functioning; and (3) the Project is fit for occupancy and its intended use</w:t>
      </w:r>
    </w:p>
    <w:p w:rsidR="00E4078C" w:rsidRDefault="009760CB">
      <w:pPr>
        <w:pStyle w:val="BodyTextFlush"/>
        <w:spacing w:before="200"/>
        <w:rPr>
          <w:sz w:val="20"/>
          <w:szCs w:val="20"/>
        </w:rPr>
      </w:pPr>
    </w:p>
    <w:p w:rsidR="00E4078C" w:rsidRDefault="009760CB">
      <w:pPr>
        <w:pStyle w:val="BodyTextFlush"/>
        <w:spacing w:before="200"/>
        <w:rPr>
          <w:sz w:val="20"/>
          <w:szCs w:val="20"/>
        </w:rPr>
      </w:pPr>
      <w:r>
        <w:rPr>
          <w:sz w:val="20"/>
          <w:szCs w:val="20"/>
        </w:rPr>
        <w:t>I certify that the Project has reached Substantial Completion as defined above</w:t>
      </w:r>
      <w:r>
        <w:rPr>
          <w:sz w:val="20"/>
          <w:szCs w:val="20"/>
        </w:rPr>
        <w:t xml:space="preserve"> on the following date: ___________</w:t>
      </w:r>
      <w:r>
        <w:rPr>
          <w:sz w:val="20"/>
          <w:szCs w:val="20"/>
        </w:rPr>
        <w:t>.</w:t>
      </w:r>
    </w:p>
    <w:p w:rsidR="00E4078C" w:rsidRDefault="009760CB">
      <w:pPr>
        <w:pStyle w:val="BodyTextFlush"/>
        <w:spacing w:before="200"/>
        <w:rPr>
          <w:sz w:val="20"/>
          <w:szCs w:val="20"/>
        </w:rPr>
      </w:pPr>
    </w:p>
    <w:p w:rsidR="00E4078C" w:rsidRDefault="009760CB">
      <w:pPr>
        <w:pStyle w:val="BodyTextFlush"/>
        <w:spacing w:before="200"/>
        <w:rPr>
          <w:sz w:val="20"/>
          <w:szCs w:val="20"/>
        </w:rPr>
      </w:pPr>
      <w:r>
        <w:rPr>
          <w:sz w:val="20"/>
          <w:szCs w:val="20"/>
        </w:rPr>
        <w:t>_________________</w:t>
      </w:r>
      <w:r>
        <w:rPr>
          <w:sz w:val="20"/>
          <w:szCs w:val="20"/>
        </w:rPr>
        <w:t>________________</w:t>
      </w:r>
      <w:r>
        <w:rPr>
          <w:sz w:val="20"/>
          <w:szCs w:val="20"/>
        </w:rPr>
        <w:br/>
        <w:t>Architect</w:t>
      </w:r>
    </w:p>
    <w:sectPr w:rsidR="00E4078C">
      <w:headerReference w:type="even" r:id="rId21"/>
      <w:headerReference w:type="default" r:id="rId22"/>
      <w:footerReference w:type="even" r:id="rId23"/>
      <w:footerReference w:type="default" r:id="rId24"/>
      <w:headerReference w:type="first" r:id="rId25"/>
      <w:footerReference w:type="first" r:id="rId26"/>
      <w:pgSz w:w="12240" w:h="15840" w:code="1"/>
      <w:pgMar w:top="1440" w:right="1440" w:bottom="1440" w:left="1440" w:header="720" w:footer="720" w:gutter="0"/>
      <w:paperSrc w:first="7" w:other="7"/>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9760CB">
      <w:r>
        <w:separator/>
      </w:r>
    </w:p>
  </w:endnote>
  <w:endnote w:type="continuationSeparator" w:id="0">
    <w:p w:rsidR="00000000" w:rsidRDefault="00976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67432"/>
      <w:docPartObj>
        <w:docPartGallery w:val="Page Numbers (Bottom of Page)"/>
        <w:docPartUnique/>
      </w:docPartObj>
    </w:sdtPr>
    <w:sdtEndPr/>
    <w:sdtContent>
      <w:p w:rsidR="00CE145A" w:rsidRDefault="009760CB">
        <w:pPr>
          <w:pStyle w:val="Footer"/>
        </w:pPr>
        <w:r>
          <w:t xml:space="preserve">- </w:t>
        </w:r>
        <w:r>
          <w:fldChar w:fldCharType="begin"/>
        </w:r>
        <w:r>
          <w:instrText xml:space="preserve"> PAGE   \* MERGEFORMAT </w:instrText>
        </w:r>
        <w:r>
          <w:fldChar w:fldCharType="separate"/>
        </w:r>
        <w:r>
          <w:rPr>
            <w:noProof/>
          </w:rPr>
          <w:t>iii</w:t>
        </w:r>
        <w:r>
          <w:fldChar w:fldCharType="end"/>
        </w:r>
        <w: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06199"/>
      <w:docPartObj>
        <w:docPartGallery w:val="Page Numbers (Bottom of Page)"/>
        <w:docPartUnique/>
      </w:docPartObj>
    </w:sdtPr>
    <w:sdtEndPr/>
    <w:sdtContent>
      <w:p w:rsidR="00CE145A" w:rsidRDefault="009760CB">
        <w:pPr>
          <w:pStyle w:val="Footer"/>
        </w:pPr>
        <w:r>
          <w:t xml:space="preserve">- </w:t>
        </w:r>
        <w:r>
          <w:fldChar w:fldCharType="begin"/>
        </w:r>
        <w:r>
          <w:instrText xml:space="preserve"> PAGE   \* MERGEFORMAT </w:instrText>
        </w:r>
        <w:r>
          <w:fldChar w:fldCharType="separate"/>
        </w:r>
        <w:r>
          <w:rPr>
            <w:noProof/>
          </w:rPr>
          <w:t>i</w:t>
        </w:r>
        <w:r>
          <w:fldChar w:fldCharType="end"/>
        </w:r>
        <w:r>
          <w:t xml:space="preserve"> -</w:t>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tabs>
        <w:tab w:val="right" w:pos="9360"/>
      </w:tabs>
      <w:jc w:val="right"/>
      <w:rPr>
        <w:sz w:val="20"/>
        <w:szCs w:val="20"/>
      </w:rPr>
    </w:pPr>
  </w:p>
  <w:p w:rsidR="00CE145A" w:rsidRDefault="009760CB">
    <w:pPr>
      <w:tabs>
        <w:tab w:val="right" w:pos="9360"/>
      </w:tabs>
      <w:jc w:val="right"/>
      <w:rPr>
        <w:sz w:val="20"/>
        <w:szCs w:val="20"/>
      </w:rPr>
    </w:pPr>
    <w:r>
      <w:rPr>
        <w:noProof/>
        <w:sz w:val="20"/>
        <w:szCs w:val="20"/>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-42546</wp:posOffset>
              </wp:positionV>
              <wp:extent cx="6191250" cy="0"/>
              <wp:effectExtent l="0" t="0" r="19050" b="19050"/>
              <wp:wrapNone/>
              <wp:docPr id="2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A1B984" id="_x0000_t32" coordsize="21600,21600" o:spt="32" o:oned="t" path="m,l21600,21600e" filled="f">
              <v:path arrowok="t" fillok="f" o:connecttype="none"/>
              <o:lock v:ext="edit" shapetype="t"/>
            </v:shapetype>
            <v:shape id="Straight Arrow Connector 1" o:spid="_x0000_s1026" type="#_x0000_t32" style="position:absolute;margin-left:0;margin-top:-3.35pt;width:48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"/>
          </w:pict>
        </mc:Fallback>
      </mc:AlternateContent>
    </w:r>
    <w:r>
      <w:rPr>
        <w:sz w:val="20"/>
        <w:szCs w:val="20"/>
      </w:rPr>
      <w:tab/>
      <w:t>Construction Services Agreement</w:t>
    </w:r>
  </w:p>
  <w:p w:rsidR="00CE145A" w:rsidRDefault="009760CB" w:rsidP="00352877">
    <w:pPr>
      <w:tabs>
        <w:tab w:val="center" w:pos="4680"/>
        <w:tab w:val="right" w:pos="9360"/>
      </w:tabs>
      <w:rPr>
        <w:sz w:val="20"/>
        <w:szCs w:val="20"/>
      </w:rPr>
    </w:pPr>
    <w:r>
      <w:rPr>
        <w:sz w:val="20"/>
        <w:szCs w:val="20"/>
      </w:rPr>
      <w:tab/>
    </w:r>
    <w:r>
      <w:rPr>
        <w:sz w:val="20"/>
        <w:szCs w:val="20"/>
      </w:rPr>
      <w:tab/>
      <w:t xml:space="preserve">Page </w:t>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84</w:t>
    </w:r>
    <w:r>
      <w:rPr>
        <w:noProof/>
        <w:sz w:val="20"/>
        <w:szCs w:val="20"/>
      </w:rPr>
      <w:fldChar w:fldCharType="end"/>
    </w:r>
  </w:p>
  <w:p w:rsidR="00CE145A" w:rsidRDefault="009760CB">
    <w:pPr>
      <w:tabs>
        <w:tab w:val="center" w:pos="4680"/>
        <w:tab w:val="right" w:pos="9360"/>
      </w:tabs>
      <w:jc w:val="right"/>
      <w:rPr>
        <w:sz w:val="20"/>
        <w:szCs w:val="20"/>
      </w:rPr>
    </w:pPr>
    <w:r>
      <w:rPr>
        <w:noProof/>
        <w:sz w:val="20"/>
        <w:szCs w:val="20"/>
      </w:rP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9760CB">
      <w:r>
        <w:separator/>
      </w:r>
    </w:p>
  </w:footnote>
  <w:footnote w:type="continuationSeparator" w:id="0">
    <w:p w:rsidR="00000000" w:rsidRDefault="00976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pStyle w:val="Header"/>
    </w:pPr>
    <w:r>
      <w:rPr>
        <w:noProof/>
      </w:rPr>
      <mc:AlternateContent>
        <mc:Choice Requires="wps">
          <w:drawing>
            <wp:anchor distT="0" distB="0" distL="114300" distR="114300" simplePos="0" relativeHeight="251662336" behindDoc="0" locked="1" layoutInCell="0" allowOverlap="1">
              <wp:simplePos x="0" y="0"/>
              <wp:positionH relativeFrom="page">
                <wp:posOffset>255905</wp:posOffset>
              </wp:positionH>
              <mc:AlternateContent>
                <mc:Choice Requires="wp14">
                  <wp:positionV relativeFrom="page">
                    <wp14:pctPosVOffset>94000</wp14:pctPosVOffset>
                  </wp:positionV>
                </mc:Choice>
                <mc:Fallback>
                  <wp:positionV relativeFrom="page">
                    <wp:posOffset>9454515</wp:posOffset>
                  </wp:positionV>
                </mc:Fallback>
              </mc:AlternateContent>
              <wp:extent cx="795528" cy="402336"/>
              <wp:effectExtent l="0" t="0" r="5080" b="0"/>
              <wp:wrapNone/>
              <wp:docPr id="21" name="DocIDEP"/>
              <wp:cNvGraphicFramePr/>
              <a:graphic xmlns:a="http://schemas.openxmlformats.org/drawingml/2006/main">
                <a:graphicData uri="http://schemas.microsoft.com/office/word/2010/wordprocessingShape">
                  <wps:wsp>
                    <wps:cNvSpPr txBox="1"/>
                    <wps:spPr>
                      <a:xfrm>
                        <a:off x="0" y="0"/>
                        <a:ext cx="795528" cy="40233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E145A" w:rsidRDefault="009760CB">
                          <w:pPr>
                            <w:pStyle w:val="DocID"/>
                          </w:pPr>
                          <w:r>
                            <w:fldChar w:fldCharType="begin"/>
                          </w:r>
                          <w:r>
                            <w:instrText xml:space="preserve">  DOCPROPERTY "CUS_DocIDString" </w:instrText>
                          </w:r>
                          <w:r>
                            <w:fldChar w:fldCharType="separate"/>
                          </w:r>
                          <w:r>
                            <w:t>005635.00252</w:t>
                          </w:r>
                          <w:r>
                            <w:br/>
                            <w:t>39085475.2</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DocIDEP" o:spid="_x0000_s1026" type="#_x0000_t202" style="position:absolute;margin-left:20.15pt;margin-top:0;width:62.65pt;height:31.7pt;z-index:251662336;visibility:visible;mso-wrap-style:square;mso-width-percent:0;mso-height-percent:0;mso-top-percent:940;mso-wrap-distance-left:9pt;mso-wrap-distance-top:0;mso-wrap-distance-right:9pt;mso-wrap-distance-bottom:0;mso-position-horizontal:absolute;mso-position-horizontal-relative:page;mso-position-vertical-relative:page;mso-width-percent:0;mso-height-percent:0;mso-top-percent:94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" o:allowincell="f" filled="f" stroked="f" strokeweight=".5pt">
              <v:textbox inset="0,0,0,0">
                <w:txbxContent>
                  <w:p w:rsidR="00CE145A" w:rsidRDefault="009760CB">
                    <w:pPr>
                      <w:pStyle w:val="DocID"/>
                    </w:pPr>
                    <w:r>
                      <w:fldChar w:fldCharType="begin"/>
                    </w:r>
                    <w:r>
                      <w:instrText xml:space="preserve">  DOCPROPERTY "CUS_DocIDString" </w:instrText>
                    </w:r>
                    <w:r>
                      <w:fldChar w:fldCharType="separate"/>
                    </w:r>
                    <w:r>
                      <w:t>005635.00252</w:t>
                    </w:r>
                    <w:r>
                      <w:br/>
                      <w:t>39085475.2</w:t>
                    </w:r>
                    <w:r>
                      <w:fldChar w:fldCharType="end"/>
                    </w:r>
                  </w:p>
                </w:txbxContent>
              </v:textbox>
              <w10:wrap anchorx="page" anchory="page"/>
              <w10:anchorlock/>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pStyle w:val="zYTableHeadingFirstPage"/>
    </w:pPr>
    <w:r>
      <w:rPr>
        <w:noProof/>
      </w:rPr>
      <mc:AlternateContent>
        <mc:Choice Requires="wps">
          <w:drawing>
            <wp:anchor distT="0" distB="0" distL="114300" distR="114300" simplePos="0" relativeHeight="251673600" behindDoc="0" locked="1" layoutInCell="0" allowOverlap="1">
              <wp:simplePos x="0" y="0"/>
              <wp:positionH relativeFrom="page">
                <wp:posOffset>255905</wp:posOffset>
              </wp:positionH>
              <mc:AlternateContent>
                <mc:Choice Requires="wp14">
                  <wp:positionV relativeFrom="page">
                    <wp14:pctPosVOffset>94000</wp14:pctPosVOffset>
                  </wp:positionV>
                </mc:Choice>
                <mc:Fallback>
                  <wp:positionV relativeFrom="page">
                    <wp:posOffset>9454515</wp:posOffset>
                  </wp:positionV>
                </mc:Fallback>
              </mc:AlternateContent>
              <wp:extent cx="795528" cy="402336"/>
              <wp:effectExtent l="0" t="0" r="5080" b="0"/>
              <wp:wrapNone/>
              <wp:docPr id="27" name="DocIDEP"/>
              <wp:cNvGraphicFramePr/>
              <a:graphic xmlns:a="http://schemas.openxmlformats.org/drawingml/2006/main">
                <a:graphicData uri="http://schemas.microsoft.com/office/word/2010/wordprocessingShape">
                  <wps:wsp>
                    <wps:cNvSpPr txBox="1"/>
                    <wps:spPr>
                      <a:xfrm>
                        <a:off x="0" y="0"/>
                        <a:ext cx="795528" cy="40233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E145A" w:rsidRDefault="009760CB">
                          <w:pPr>
                            <w:pStyle w:val="DocID"/>
                          </w:pPr>
                          <w:r>
                            <w:fldChar w:fldCharType="begin"/>
                          </w:r>
                          <w:r>
                            <w:instrText xml:space="preserve">  DOCPROPERTY "CUS_DocIDString" </w:instrText>
                          </w:r>
                          <w:r>
                            <w:fldChar w:fldCharType="separate"/>
                          </w:r>
                          <w:r>
                            <w:t>005635.00252</w:t>
                          </w:r>
                          <w:r>
                            <w:br/>
                            <w:t>39085475.2</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left:0;text-align:left;margin-left:20.15pt;margin-top:0;width:62.65pt;height:31.7pt;z-index:251673600;visibility:visible;mso-wrap-style:square;mso-width-percent:0;mso-height-percent:0;mso-top-percent:940;mso-wrap-distance-left:9pt;mso-wrap-distance-top:0;mso-wrap-distance-right:9pt;mso-wrap-distance-bottom:0;mso-position-horizontal:absolute;mso-position-horizontal-relative:page;mso-position-vertical-relative:page;mso-width-percent:0;mso-height-percent:0;mso-top-percent:94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" o:allowincell="f" filled="f" stroked="f" strokeweight=".5pt">
              <v:textbox inset="0,0,0,0">
                <w:txbxContent>
                  <w:p w:rsidR="00CE145A" w:rsidRDefault="009760CB">
                    <w:pPr>
                      <w:pStyle w:val="DocID"/>
                    </w:pPr>
                    <w:r>
                      <w:fldChar w:fldCharType="begin"/>
                    </w:r>
                    <w:r>
                      <w:instrText xml:space="preserve">  DOCPROPERTY "CUS_DocIDString" </w:instrText>
                    </w:r>
                    <w:r>
                      <w:fldChar w:fldCharType="separate"/>
                    </w:r>
                    <w:r>
                      <w:t>005635.00252</w:t>
                    </w:r>
                    <w:r>
                      <w:br/>
                      <w:t>39085475.2</w:t>
                    </w:r>
                    <w:r>
                      <w:fldChar w:fldCharType="end"/>
                    </w:r>
                  </w:p>
                </w:txbxContent>
              </v:textbox>
              <w10:wrap anchorx="page" anchory="page"/>
              <w10:anchorlock/>
            </v:shape>
          </w:pict>
        </mc:Fallback>
      </mc:AlternateContent>
    </w:r>
    <w:r>
      <w:t>TABLE OF CONTENTS</w:t>
    </w:r>
  </w:p>
  <w:p w:rsidR="00CE145A" w:rsidRDefault="009760CB">
    <w:pPr>
      <w:pStyle w:val="zYPage"/>
    </w:pPr>
    <w:r>
      <w:t>Page</w:t>
    </w:r>
  </w:p>
  <w:p w:rsidR="00CE145A" w:rsidRDefault="009760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pStyle w:val="Header"/>
    </w:pPr>
    <w:r>
      <w:rPr>
        <w:noProof/>
      </w:rPr>
      <mc:AlternateContent>
        <mc:Choice Requires="wps">
          <w:drawing>
            <wp:anchor distT="0" distB="0" distL="114300" distR="114300" simplePos="0" relativeHeight="251660288" behindDoc="0" locked="1" layoutInCell="0" allowOverlap="1">
              <wp:simplePos x="0" y="0"/>
              <wp:positionH relativeFrom="page">
                <wp:posOffset>255905</wp:posOffset>
              </wp:positionH>
              <mc:AlternateContent>
                <mc:Choice Requires="wp14">
                  <wp:positionV relativeFrom="page">
                    <wp14:pctPosVOffset>94000</wp14:pctPosVOffset>
                  </wp:positionV>
                </mc:Choice>
                <mc:Fallback>
                  <wp:positionV relativeFrom="page">
                    <wp:posOffset>9454515</wp:posOffset>
                  </wp:positionV>
                </mc:Fallback>
              </mc:AlternateContent>
              <wp:extent cx="795528" cy="402336"/>
              <wp:effectExtent l="0" t="0" r="5080" b="0"/>
              <wp:wrapNone/>
              <wp:docPr id="20" name="DocIDEP"/>
              <wp:cNvGraphicFramePr/>
              <a:graphic xmlns:a="http://schemas.openxmlformats.org/drawingml/2006/main">
                <a:graphicData uri="http://schemas.microsoft.com/office/word/2010/wordprocessingShape">
                  <wps:wsp>
                    <wps:cNvSpPr txBox="1"/>
                    <wps:spPr>
                      <a:xfrm>
                        <a:off x="0" y="0"/>
                        <a:ext cx="795528" cy="40233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E145A" w:rsidRDefault="009760CB">
                          <w:pPr>
                            <w:pStyle w:val="DocID"/>
                          </w:pPr>
                          <w:r>
                            <w:fldChar w:fldCharType="begin"/>
                          </w:r>
                          <w:r>
                            <w:instrText xml:space="preserve">  DOCPROPERTY "CUS_DocIDString" </w:instrText>
                          </w:r>
                          <w:r>
                            <w:fldChar w:fldCharType="separate"/>
                          </w:r>
                          <w:r>
                            <w:t>005635.00252</w:t>
                          </w:r>
                          <w:r>
                            <w:br/>
                            <w:t>39085475.2</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20.15pt;margin-top:0;width:62.65pt;height:31.7pt;z-index:251660288;visibility:visible;mso-wrap-style:square;mso-width-percent:0;mso-height-percent:0;mso-top-percent:940;mso-wrap-distance-left:9pt;mso-wrap-distance-top:0;mso-wrap-distance-right:9pt;mso-wrap-distance-bottom:0;mso-position-horizontal:absolute;mso-position-horizontal-relative:page;mso-position-vertical-relative:page;mso-width-percent:0;mso-height-percent:0;mso-top-percent:94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" o:allowincell="f" filled="f" stroked="f" strokeweight=".5pt">
              <v:textbox inset="0,0,0,0">
                <w:txbxContent>
                  <w:p w:rsidR="00CE145A" w:rsidRDefault="009760CB">
                    <w:pPr>
                      <w:pStyle w:val="DocID"/>
                    </w:pPr>
                    <w:r>
                      <w:fldChar w:fldCharType="begin"/>
                    </w:r>
                    <w:r>
                      <w:instrText xml:space="preserve">  DOCPROPERTY "CUS_DocIDString" </w:instrText>
                    </w:r>
                    <w:r>
                      <w:fldChar w:fldCharType="separate"/>
                    </w:r>
                    <w:r>
                      <w:t>005635.00252</w:t>
                    </w:r>
                    <w:r>
                      <w:br/>
                      <w:t>39085475.2</w:t>
                    </w:r>
                    <w:r>
                      <w:fldChar w:fldCharType="end"/>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pStyle w:val="zYTableHeading"/>
      <w:rPr>
        <w:sz w:val="20"/>
        <w:szCs w:val="20"/>
      </w:rPr>
    </w:pPr>
    <w:r w:rsidRPr="007A2867">
      <w:rPr>
        <w:noProof/>
        <w:sz w:val="20"/>
        <w:szCs w:val="20"/>
      </w:rPr>
      <mc:AlternateContent>
        <mc:Choice Requires="wps">
          <w:drawing>
            <wp:anchor distT="0" distB="0" distL="114300" distR="114300" simplePos="0" relativeHeight="251667456" behindDoc="0" locked="1" layoutInCell="0" allowOverlap="1">
              <wp:simplePos x="0" y="0"/>
              <wp:positionH relativeFrom="page">
                <wp:posOffset>255905</wp:posOffset>
              </wp:positionH>
              <mc:AlternateContent>
                <mc:Choice Requires="wp14">
                  <wp:positionV relativeFrom="page">
                    <wp14:pctPosVOffset>94000</wp14:pctPosVOffset>
                  </wp:positionV>
                </mc:Choice>
                <mc:Fallback>
                  <wp:positionV relativeFrom="page">
                    <wp:posOffset>9454515</wp:posOffset>
                  </wp:positionV>
                </mc:Fallback>
              </mc:AlternateContent>
              <wp:extent cx="795528" cy="402336"/>
              <wp:effectExtent l="0" t="0" r="5080" b="0"/>
              <wp:wrapNone/>
              <wp:docPr id="23" name="DocIDEP"/>
              <wp:cNvGraphicFramePr/>
              <a:graphic xmlns:a="http://schemas.openxmlformats.org/drawingml/2006/main">
                <a:graphicData uri="http://schemas.microsoft.com/office/word/2010/wordprocessingShape">
                  <wps:wsp>
                    <wps:cNvSpPr txBox="1"/>
                    <wps:spPr>
                      <a:xfrm>
                        <a:off x="0" y="0"/>
                        <a:ext cx="795528" cy="40233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E145A" w:rsidRDefault="009760CB">
                          <w:pPr>
                            <w:pStyle w:val="DocID"/>
                          </w:pPr>
                          <w:r>
                            <w:fldChar w:fldCharType="begin"/>
                          </w:r>
                          <w:r>
                            <w:instrText xml:space="preserve">  DOCPROPERTY "CUS_DocIDString" </w:instrText>
                          </w:r>
                          <w:r>
                            <w:fldChar w:fldCharType="separate"/>
                          </w:r>
                          <w:r>
                            <w:t>005635.00252</w:t>
                          </w:r>
                          <w:r>
                            <w:br/>
                            <w:t>39085475.2</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20.15pt;margin-top:0;width:62.65pt;height:31.7pt;z-index:251667456;visibility:visible;mso-wrap-style:square;mso-width-percent:0;mso-height-percent:0;mso-top-percent:940;mso-wrap-distance-left:9pt;mso-wrap-distance-top:0;mso-wrap-distance-right:9pt;mso-wrap-distance-bottom:0;mso-position-horizontal:absolute;mso-position-horizontal-relative:page;mso-position-vertical-relative:page;mso-width-percent:0;mso-height-percent:0;mso-top-percent:94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" o:allowincell="f" filled="f" stroked="f" strokeweight=".5pt">
              <v:textbox inset="0,0,0,0">
                <w:txbxContent>
                  <w:p w:rsidR="00CE145A" w:rsidRDefault="009760CB">
                    <w:pPr>
                      <w:pStyle w:val="DocID"/>
                    </w:pPr>
                    <w:r>
                      <w:fldChar w:fldCharType="begin"/>
                    </w:r>
                    <w:r>
                      <w:instrText xml:space="preserve">  DOCPROPERTY "CUS_DocIDString" </w:instrText>
                    </w:r>
                    <w:r>
                      <w:fldChar w:fldCharType="separate"/>
                    </w:r>
                    <w:r>
                      <w:t>005635.00252</w:t>
                    </w:r>
                    <w:r>
                      <w:br/>
                      <w:t>39085475.2</w:t>
                    </w:r>
                    <w:r>
                      <w:fldChar w:fldCharType="end"/>
                    </w:r>
                  </w:p>
                </w:txbxContent>
              </v:textbox>
              <w10:wrap anchorx="page" anchory="page"/>
              <w10:anchorlock/>
            </v:shape>
          </w:pict>
        </mc:Fallback>
      </mc:AlternateContent>
    </w:r>
    <w:r>
      <w:rPr>
        <w:sz w:val="20"/>
        <w:szCs w:val="20"/>
      </w:rPr>
      <w:t>TABLE OF CONTENTS</w:t>
    </w:r>
    <w:r>
      <w:rPr>
        <w:sz w:val="20"/>
        <w:szCs w:val="20"/>
      </w:rPr>
      <w:br/>
      <w:t>(Continued)</w:t>
    </w:r>
  </w:p>
  <w:p w:rsidR="00CE145A" w:rsidRDefault="009760CB">
    <w:pPr>
      <w:pStyle w:val="zYPage"/>
      <w:rPr>
        <w:sz w:val="20"/>
        <w:szCs w:val="20"/>
      </w:rPr>
    </w:pPr>
    <w:r>
      <w:rPr>
        <w:sz w:val="20"/>
        <w:szCs w:val="20"/>
      </w:rPr>
      <w:t>Page</w:t>
    </w:r>
  </w:p>
  <w:p w:rsidR="00CE145A" w:rsidRDefault="009760CB">
    <w:pPr>
      <w:pStyle w:val="Header"/>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pStyle w:val="zYTableHeadingFirstPage"/>
      <w:rPr>
        <w:sz w:val="20"/>
        <w:szCs w:val="20"/>
      </w:rPr>
    </w:pPr>
    <w:r w:rsidRPr="007A2867">
      <w:rPr>
        <w:noProof/>
        <w:sz w:val="20"/>
        <w:szCs w:val="20"/>
      </w:rPr>
      <mc:AlternateContent>
        <mc:Choice Requires="wps">
          <w:drawing>
            <wp:anchor distT="0" distB="0" distL="114300" distR="114300" simplePos="0" relativeHeight="251665408" behindDoc="0" locked="1" layoutInCell="0" allowOverlap="1">
              <wp:simplePos x="0" y="0"/>
              <wp:positionH relativeFrom="page">
                <wp:posOffset>255905</wp:posOffset>
              </wp:positionH>
              <mc:AlternateContent>
                <mc:Choice Requires="wp14">
                  <wp:positionV relativeFrom="page">
                    <wp14:pctPosVOffset>94000</wp14:pctPosVOffset>
                  </wp:positionV>
                </mc:Choice>
                <mc:Fallback>
                  <wp:positionV relativeFrom="page">
                    <wp:posOffset>9454515</wp:posOffset>
                  </wp:positionV>
                </mc:Fallback>
              </mc:AlternateContent>
              <wp:extent cx="795528" cy="402336"/>
              <wp:effectExtent l="0" t="0" r="5080" b="0"/>
              <wp:wrapNone/>
              <wp:docPr id="22" name="DocIDEP"/>
              <wp:cNvGraphicFramePr/>
              <a:graphic xmlns:a="http://schemas.openxmlformats.org/drawingml/2006/main">
                <a:graphicData uri="http://schemas.microsoft.com/office/word/2010/wordprocessingShape">
                  <wps:wsp>
                    <wps:cNvSpPr txBox="1"/>
                    <wps:spPr>
                      <a:xfrm>
                        <a:off x="0" y="0"/>
                        <a:ext cx="795528" cy="40233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E145A" w:rsidRDefault="009760CB">
                          <w:pPr>
                            <w:pStyle w:val="DocID"/>
                          </w:pPr>
                          <w:r>
                            <w:fldChar w:fldCharType="begin"/>
                          </w:r>
                          <w:r>
                            <w:instrText xml:space="preserve">  DOCPROPERTY "CUS_DocIDString" </w:instrText>
                          </w:r>
                          <w:r>
                            <w:fldChar w:fldCharType="separate"/>
                          </w:r>
                          <w:r>
                            <w:t>005635.00252</w:t>
                          </w:r>
                          <w:r>
                            <w:br/>
                            <w:t>39085475.2</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left:0;text-align:left;margin-left:20.15pt;margin-top:0;width:62.65pt;height:31.7pt;z-index:251665408;visibility:visible;mso-wrap-style:square;mso-width-percent:0;mso-height-percent:0;mso-top-percent:940;mso-wrap-distance-left:9pt;mso-wrap-distance-top:0;mso-wrap-distance-right:9pt;mso-wrap-distance-bottom:0;mso-position-horizontal:absolute;mso-position-horizontal-relative:page;mso-position-vertical-relative:page;mso-width-percent:0;mso-height-percent:0;mso-top-percent:94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" o:allowincell="f" filled="f" stroked="f" strokeweight=".5pt">
              <v:textbox inset="0,0,0,0">
                <w:txbxContent>
                  <w:p w:rsidR="00CE145A" w:rsidRDefault="009760CB">
                    <w:pPr>
                      <w:pStyle w:val="DocID"/>
                    </w:pPr>
                    <w:r>
                      <w:fldChar w:fldCharType="begin"/>
                    </w:r>
                    <w:r>
                      <w:instrText xml:space="preserve">  DOCPROPERTY "CUS_DocIDString" </w:instrText>
                    </w:r>
                    <w:r>
                      <w:fldChar w:fldCharType="separate"/>
                    </w:r>
                    <w:r>
                      <w:t>005635.00252</w:t>
                    </w:r>
                    <w:r>
                      <w:br/>
                      <w:t>39085475.2</w:t>
                    </w:r>
                    <w:r>
                      <w:fldChar w:fldCharType="end"/>
                    </w:r>
                  </w:p>
                </w:txbxContent>
              </v:textbox>
              <w10:wrap anchorx="page" anchory="page"/>
              <w10:anchorlock/>
            </v:shape>
          </w:pict>
        </mc:Fallback>
      </mc:AlternateContent>
    </w:r>
    <w:r>
      <w:rPr>
        <w:sz w:val="20"/>
        <w:szCs w:val="20"/>
      </w:rPr>
      <w:t>TABLE OF CONTENTS</w:t>
    </w:r>
  </w:p>
  <w:p w:rsidR="00CE145A" w:rsidRDefault="009760CB">
    <w:pPr>
      <w:pStyle w:val="zYPage"/>
      <w:rPr>
        <w:sz w:val="20"/>
        <w:szCs w:val="20"/>
      </w:rPr>
    </w:pPr>
    <w:r>
      <w:rPr>
        <w:sz w:val="20"/>
        <w:szCs w:val="20"/>
      </w:rPr>
      <w:t>Page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pStyle w:val="Header"/>
    </w:pPr>
    <w:r>
      <w:rPr>
        <w:noProof/>
      </w:rPr>
      <mc:AlternateContent>
        <mc:Choice Requires="wps">
          <w:drawing>
            <wp:anchor distT="0" distB="0" distL="114300" distR="114300" simplePos="0" relativeHeight="251671552" behindDoc="0" locked="1" layoutInCell="0" allowOverlap="1">
              <wp:simplePos x="0" y="0"/>
              <wp:positionH relativeFrom="page">
                <wp:posOffset>255905</wp:posOffset>
              </wp:positionH>
              <mc:AlternateContent>
                <mc:Choice Requires="wp14">
                  <wp:positionV relativeFrom="page">
                    <wp14:pctPosVOffset>94000</wp14:pctPosVOffset>
                  </wp:positionV>
                </mc:Choice>
                <mc:Fallback>
                  <wp:positionV relativeFrom="page">
                    <wp:posOffset>9454515</wp:posOffset>
                  </wp:positionV>
                </mc:Fallback>
              </mc:AlternateContent>
              <wp:extent cx="795528" cy="402336"/>
              <wp:effectExtent l="0" t="0" r="5080" b="0"/>
              <wp:wrapNone/>
              <wp:docPr id="26" name="DocIDEP"/>
              <wp:cNvGraphicFramePr/>
              <a:graphic xmlns:a="http://schemas.openxmlformats.org/drawingml/2006/main">
                <a:graphicData uri="http://schemas.microsoft.com/office/word/2010/wordprocessingShape">
                  <wps:wsp>
                    <wps:cNvSpPr txBox="1"/>
                    <wps:spPr>
                      <a:xfrm>
                        <a:off x="0" y="0"/>
                        <a:ext cx="795528" cy="40233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E145A" w:rsidRDefault="009760CB">
                          <w:pPr>
                            <w:pStyle w:val="DocID"/>
                          </w:pPr>
                          <w:r>
                            <w:fldChar w:fldCharType="begin"/>
                          </w:r>
                          <w:r>
                            <w:instrText xml:space="preserve">  DOCPROPERTY "CUS_DocIDString" </w:instrText>
                          </w:r>
                          <w:r>
                            <w:fldChar w:fldCharType="separate"/>
                          </w:r>
                          <w:r>
                            <w:t>005635.00252</w:t>
                          </w:r>
                          <w:r>
                            <w:br/>
                            <w:t>39085475.2</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margin-left:20.15pt;margin-top:0;width:62.65pt;height:31.7pt;z-index:251671552;visibility:visible;mso-wrap-style:square;mso-width-percent:0;mso-height-percent:0;mso-top-percent:940;mso-wrap-distance-left:9pt;mso-wrap-distance-top:0;mso-wrap-distance-right:9pt;mso-wrap-distance-bottom:0;mso-position-horizontal:absolute;mso-position-horizontal-relative:page;mso-position-vertical-relative:page;mso-width-percent:0;mso-height-percent:0;mso-top-percent:94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" o:allowincell="f" filled="f" stroked="f" strokeweight=".5pt">
              <v:textbox inset="0,0,0,0">
                <w:txbxContent>
                  <w:p w:rsidR="00CE145A" w:rsidRDefault="009760CB">
                    <w:pPr>
                      <w:pStyle w:val="DocID"/>
                    </w:pPr>
                    <w:r>
                      <w:fldChar w:fldCharType="begin"/>
                    </w:r>
                    <w:r>
                      <w:instrText xml:space="preserve">  DOCPROPERTY "CUS_DocIDString" </w:instrText>
                    </w:r>
                    <w:r>
                      <w:fldChar w:fldCharType="separate"/>
                    </w:r>
                    <w:r>
                      <w:t>005635.00252</w:t>
                    </w:r>
                    <w:r>
                      <w:br/>
                      <w:t>39085475.2</w:t>
                    </w:r>
                    <w:r>
                      <w:fldChar w:fldCharType="end"/>
                    </w:r>
                  </w:p>
                </w:txbxContent>
              </v:textbox>
              <w10:wrap anchorx="page"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pStyle w:val="zYTableHeadingFirstPage"/>
    </w:pPr>
    <w:r>
      <w:rPr>
        <w:noProof/>
      </w:rPr>
      <mc:AlternateContent>
        <mc:Choice Requires="wps">
          <w:drawing>
            <wp:anchor distT="0" distB="0" distL="114300" distR="114300" simplePos="0" relativeHeight="251669504" behindDoc="0" locked="1" layoutInCell="0" allowOverlap="1">
              <wp:simplePos x="0" y="0"/>
              <wp:positionH relativeFrom="page">
                <wp:posOffset>255905</wp:posOffset>
              </wp:positionH>
              <mc:AlternateContent>
                <mc:Choice Requires="wp14">
                  <wp:positionV relativeFrom="page">
                    <wp14:pctPosVOffset>94000</wp14:pctPosVOffset>
                  </wp:positionV>
                </mc:Choice>
                <mc:Fallback>
                  <wp:positionV relativeFrom="page">
                    <wp:posOffset>9454515</wp:posOffset>
                  </wp:positionV>
                </mc:Fallback>
              </mc:AlternateContent>
              <wp:extent cx="795528" cy="402336"/>
              <wp:effectExtent l="0" t="0" r="5080" b="0"/>
              <wp:wrapNone/>
              <wp:docPr id="25" name="DocIDEP"/>
              <wp:cNvGraphicFramePr/>
              <a:graphic xmlns:a="http://schemas.openxmlformats.org/drawingml/2006/main">
                <a:graphicData uri="http://schemas.microsoft.com/office/word/2010/wordprocessingShape">
                  <wps:wsp>
                    <wps:cNvSpPr txBox="1"/>
                    <wps:spPr>
                      <a:xfrm>
                        <a:off x="0" y="0"/>
                        <a:ext cx="795528" cy="40233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E145A" w:rsidRDefault="009760CB">
                          <w:pPr>
                            <w:pStyle w:val="DocID"/>
                          </w:pPr>
                          <w:r>
                            <w:fldChar w:fldCharType="begin"/>
                          </w:r>
                          <w:r>
                            <w:instrText xml:space="preserve">  DOCPROPERTY "CUS_DocIDString" </w:instrText>
                          </w:r>
                          <w:r>
                            <w:fldChar w:fldCharType="separate"/>
                          </w:r>
                          <w:r>
                            <w:t>005635.00252</w:t>
                          </w:r>
                          <w:r>
                            <w:br/>
                            <w:t>39085475.2</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left:0;text-align:left;margin-left:20.15pt;margin-top:0;width:62.65pt;height:31.7pt;z-index:251669504;visibility:visible;mso-wrap-style:square;mso-width-percent:0;mso-height-percent:0;mso-top-percent:940;mso-wrap-distance-left:9pt;mso-wrap-distance-top:0;mso-wrap-distance-right:9pt;mso-wrap-distance-bottom:0;mso-position-horizontal:absolute;mso-position-horizontal-relative:page;mso-position-vertical-relative:page;mso-width-percent:0;mso-height-percent:0;mso-top-percent:94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" o:allowincell="f" filled="f" stroked="f" strokeweight=".5pt">
              <v:textbox inset="0,0,0,0">
                <w:txbxContent>
                  <w:p w:rsidR="00CE145A" w:rsidRDefault="009760CB">
                    <w:pPr>
                      <w:pStyle w:val="DocID"/>
                    </w:pPr>
                    <w:r>
                      <w:fldChar w:fldCharType="begin"/>
                    </w:r>
                    <w:r>
                      <w:instrText xml:space="preserve">  DOCPROPERTY "CUS_DocIDString" </w:instrText>
                    </w:r>
                    <w:r>
                      <w:fldChar w:fldCharType="separate"/>
                    </w:r>
                    <w:r>
                      <w:t>005635.00252</w:t>
                    </w:r>
                    <w:r>
                      <w:br/>
                      <w:t>39085475.2</w:t>
                    </w:r>
                    <w:r>
                      <w:fldChar w:fldCharType="end"/>
                    </w:r>
                  </w:p>
                </w:txbxContent>
              </v:textbox>
              <w10:wrap anchorx="page" anchory="page"/>
              <w10:anchorlock/>
            </v:shape>
          </w:pict>
        </mc:Fallback>
      </mc:AlternateContent>
    </w:r>
    <w:r>
      <w:t>TABLE OF CONTENTS</w:t>
    </w:r>
  </w:p>
  <w:p w:rsidR="00CE145A" w:rsidRDefault="009760CB">
    <w:pPr>
      <w:pStyle w:val="zYPage"/>
    </w:pPr>
    <w:r>
      <w:t>Page</w:t>
    </w:r>
  </w:p>
  <w:p w:rsidR="00CE145A" w:rsidRDefault="009760C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45A" w:rsidRDefault="00976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7C96DA"/>
    <w:lvl w:ilvl="0">
      <w:start w:val="1"/>
      <w:numFmt w:val="decimal"/>
      <w:pStyle w:val="ListNumber5"/>
      <w:lvlText w:val="%1."/>
      <w:lvlJc w:val="left"/>
      <w:pPr>
        <w:tabs>
          <w:tab w:val="num" w:pos="1800"/>
        </w:tabs>
        <w:ind w:left="1800" w:hanging="360"/>
      </w:pPr>
      <w:rPr>
        <w:rFonts w:cs="Times New Roman"/>
      </w:rPr>
    </w:lvl>
  </w:abstractNum>
  <w:abstractNum w:abstractNumId="1" w15:restartNumberingAfterBreak="0">
    <w:nsid w:val="FFFFFF7D"/>
    <w:multiLevelType w:val="singleLevel"/>
    <w:tmpl w:val="A67A1352"/>
    <w:lvl w:ilvl="0">
      <w:start w:val="1"/>
      <w:numFmt w:val="decimal"/>
      <w:pStyle w:val="ListNumber4"/>
      <w:lvlText w:val="%1."/>
      <w:lvlJc w:val="left"/>
      <w:pPr>
        <w:tabs>
          <w:tab w:val="num" w:pos="1440"/>
        </w:tabs>
        <w:ind w:left="1440" w:hanging="360"/>
      </w:pPr>
      <w:rPr>
        <w:rFonts w:cs="Times New Roman"/>
      </w:rPr>
    </w:lvl>
  </w:abstractNum>
  <w:abstractNum w:abstractNumId="2" w15:restartNumberingAfterBreak="0">
    <w:nsid w:val="FFFFFF7E"/>
    <w:multiLevelType w:val="singleLevel"/>
    <w:tmpl w:val="C4266C20"/>
    <w:lvl w:ilvl="0">
      <w:start w:val="1"/>
      <w:numFmt w:val="decimal"/>
      <w:pStyle w:val="ListNumber3"/>
      <w:lvlText w:val="%1."/>
      <w:lvlJc w:val="left"/>
      <w:pPr>
        <w:tabs>
          <w:tab w:val="num" w:pos="1080"/>
        </w:tabs>
        <w:ind w:left="1080" w:hanging="360"/>
      </w:pPr>
      <w:rPr>
        <w:rFonts w:cs="Times New Roman"/>
      </w:rPr>
    </w:lvl>
  </w:abstractNum>
  <w:abstractNum w:abstractNumId="3" w15:restartNumberingAfterBreak="0">
    <w:nsid w:val="FFFFFF7F"/>
    <w:multiLevelType w:val="singleLevel"/>
    <w:tmpl w:val="461E66B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490056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E8B0C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74CE3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11384AE2"/>
    <w:multiLevelType w:val="multilevel"/>
    <w:tmpl w:val="8D68400E"/>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i w:val="0"/>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44011B"/>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8500D0"/>
    <w:multiLevelType w:val="multilevel"/>
    <w:tmpl w:val="4DAA093A"/>
    <w:lvl w:ilvl="0">
      <w:start w:val="1"/>
      <w:numFmt w:val="decimal"/>
      <w:pStyle w:val="TabNumber"/>
      <w:lvlText w:val="%1."/>
      <w:lvlJc w:val="left"/>
      <w:pPr>
        <w:ind w:left="0" w:firstLine="720"/>
      </w:pPr>
      <w:rPr>
        <w:rFonts w:hint="default"/>
      </w:rPr>
    </w:lvl>
    <w:lvl w:ilvl="1">
      <w:start w:val="1"/>
      <w:numFmt w:val="lowerLetter"/>
      <w:lvlText w:val="%2."/>
      <w:lvlJc w:val="left"/>
      <w:pPr>
        <w:ind w:left="720" w:firstLine="720"/>
      </w:pPr>
      <w:rPr>
        <w:rFonts w:hint="default"/>
      </w:rPr>
    </w:lvl>
    <w:lvl w:ilvl="2">
      <w:start w:val="1"/>
      <w:numFmt w:val="lowerRoman"/>
      <w:lvlText w:val="%3."/>
      <w:lvlJc w:val="right"/>
      <w:pPr>
        <w:ind w:left="1440" w:firstLine="720"/>
      </w:pPr>
      <w:rPr>
        <w:rFonts w:hint="default"/>
      </w:rPr>
    </w:lvl>
    <w:lvl w:ilvl="3">
      <w:start w:val="1"/>
      <w:numFmt w:val="decimal"/>
      <w:lvlText w:val="%4.)"/>
      <w:lvlJc w:val="left"/>
      <w:pPr>
        <w:ind w:left="2160" w:firstLine="720"/>
      </w:pPr>
      <w:rPr>
        <w:rFonts w:hint="default"/>
      </w:rPr>
    </w:lvl>
    <w:lvl w:ilvl="4">
      <w:start w:val="1"/>
      <w:numFmt w:val="lowerLetter"/>
      <w:lvlText w:val="%5)"/>
      <w:lvlJc w:val="left"/>
      <w:pPr>
        <w:ind w:left="2880" w:firstLine="720"/>
      </w:pPr>
      <w:rPr>
        <w:rFonts w:hint="default"/>
      </w:rPr>
    </w:lvl>
    <w:lvl w:ilvl="5">
      <w:start w:val="1"/>
      <w:numFmt w:val="lowerRoman"/>
      <w:lvlText w:val="%6)"/>
      <w:lvlJc w:val="right"/>
      <w:pPr>
        <w:ind w:left="3600" w:firstLine="720"/>
      </w:pPr>
      <w:rPr>
        <w:rFonts w:hint="default"/>
      </w:rPr>
    </w:lvl>
    <w:lvl w:ilvl="6">
      <w:start w:val="1"/>
      <w:numFmt w:val="decimal"/>
      <w:lvlText w:val="(%7)"/>
      <w:lvlJc w:val="left"/>
      <w:pPr>
        <w:ind w:left="4320" w:firstLine="720"/>
      </w:pPr>
      <w:rPr>
        <w:rFonts w:hint="default"/>
      </w:rPr>
    </w:lvl>
    <w:lvl w:ilvl="7">
      <w:start w:val="1"/>
      <w:numFmt w:val="lowerLetter"/>
      <w:lvlText w:val="(%8)"/>
      <w:lvlJc w:val="left"/>
      <w:pPr>
        <w:ind w:left="5040" w:firstLine="720"/>
      </w:pPr>
      <w:rPr>
        <w:rFonts w:hint="default"/>
      </w:rPr>
    </w:lvl>
    <w:lvl w:ilvl="8">
      <w:start w:val="1"/>
      <w:numFmt w:val="lowerRoman"/>
      <w:lvlText w:val="(%9)"/>
      <w:lvlJc w:val="right"/>
      <w:pPr>
        <w:ind w:left="5760" w:firstLine="720"/>
      </w:pPr>
      <w:rPr>
        <w:rFonts w:hint="default"/>
      </w:rPr>
    </w:lvl>
  </w:abstractNum>
  <w:abstractNum w:abstractNumId="10" w15:restartNumberingAfterBreak="0">
    <w:nsid w:val="27D42502"/>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D407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381CB0"/>
    <w:multiLevelType w:val="multilevel"/>
    <w:tmpl w:val="BA9A580E"/>
    <w:lvl w:ilvl="0">
      <w:start w:val="1"/>
      <w:numFmt w:val="decimal"/>
      <w:pStyle w:val="Heading1"/>
      <w:lvlText w:val="%1."/>
      <w:lvlJc w:val="left"/>
      <w:pPr>
        <w:tabs>
          <w:tab w:val="num" w:pos="0"/>
        </w:tabs>
        <w:ind w:left="720" w:hanging="720"/>
      </w:pPr>
      <w:rPr>
        <w:rFonts w:cs="Times New Roman" w:hint="default"/>
        <w:vanish w:val="0"/>
        <w:u w:val="none"/>
      </w:rPr>
    </w:lvl>
    <w:lvl w:ilvl="1">
      <w:start w:val="1"/>
      <w:numFmt w:val="decimal"/>
      <w:pStyle w:val="Heading2"/>
      <w:isLgl/>
      <w:lvlText w:val="%1.%2"/>
      <w:lvlJc w:val="left"/>
      <w:pPr>
        <w:tabs>
          <w:tab w:val="num" w:pos="720"/>
        </w:tabs>
        <w:ind w:left="1440" w:hanging="720"/>
      </w:pPr>
      <w:rPr>
        <w:rFonts w:cs="Times New Roman" w:hint="default"/>
        <w:vanish w:val="0"/>
        <w:u w:val="none"/>
      </w:rPr>
    </w:lvl>
    <w:lvl w:ilvl="2">
      <w:start w:val="1"/>
      <w:numFmt w:val="decimal"/>
      <w:pStyle w:val="Heading3"/>
      <w:isLgl/>
      <w:lvlText w:val="%1.%2.%3"/>
      <w:lvlJc w:val="left"/>
      <w:pPr>
        <w:tabs>
          <w:tab w:val="num" w:pos="5850"/>
        </w:tabs>
        <w:ind w:left="6829" w:hanging="979"/>
      </w:pPr>
      <w:rPr>
        <w:rFonts w:cs="Times New Roman" w:hint="default"/>
        <w:b w:val="0"/>
        <w:i w:val="0"/>
        <w:vanish w:val="0"/>
        <w:u w:val="none"/>
      </w:rPr>
    </w:lvl>
    <w:lvl w:ilvl="3">
      <w:start w:val="1"/>
      <w:numFmt w:val="decimal"/>
      <w:pStyle w:val="Heading4"/>
      <w:isLgl/>
      <w:lvlText w:val="%1.%2.%3.%4"/>
      <w:lvlJc w:val="left"/>
      <w:pPr>
        <w:tabs>
          <w:tab w:val="num" w:pos="3600"/>
        </w:tabs>
        <w:ind w:left="3600" w:hanging="1181"/>
      </w:pPr>
      <w:rPr>
        <w:rFonts w:cs="Times New Roman" w:hint="default"/>
        <w:b w:val="0"/>
        <w:i w:val="0"/>
        <w:vanish w:val="0"/>
        <w:u w:val="none"/>
      </w:rPr>
    </w:lvl>
    <w:lvl w:ilvl="4">
      <w:start w:val="1"/>
      <w:numFmt w:val="lowerLetter"/>
      <w:pStyle w:val="Heading5"/>
      <w:lvlText w:val="%5."/>
      <w:lvlJc w:val="left"/>
      <w:pPr>
        <w:tabs>
          <w:tab w:val="num" w:pos="3600"/>
        </w:tabs>
        <w:ind w:left="4320" w:hanging="720"/>
      </w:pPr>
      <w:rPr>
        <w:rFonts w:cs="Times New Roman" w:hint="default"/>
        <w:vanish w:val="0"/>
        <w:u w:val="none"/>
      </w:rPr>
    </w:lvl>
    <w:lvl w:ilvl="5">
      <w:start w:val="1"/>
      <w:numFmt w:val="decimal"/>
      <w:pStyle w:val="Heading6"/>
      <w:lvlText w:val="%6."/>
      <w:lvlJc w:val="left"/>
      <w:pPr>
        <w:tabs>
          <w:tab w:val="num" w:pos="5040"/>
        </w:tabs>
        <w:ind w:left="5040" w:hanging="720"/>
      </w:pPr>
      <w:rPr>
        <w:rFonts w:cs="Times New Roman" w:hint="default"/>
        <w:vanish w:val="0"/>
        <w:u w:val="none"/>
      </w:rPr>
    </w:lvl>
    <w:lvl w:ilvl="6">
      <w:start w:val="1"/>
      <w:numFmt w:val="decimal"/>
      <w:pStyle w:val="Heading7"/>
      <w:isLgl/>
      <w:lvlText w:val="%1.%2.%3.%4.%5.%6.%7"/>
      <w:lvlJc w:val="left"/>
      <w:pPr>
        <w:tabs>
          <w:tab w:val="num" w:pos="5040"/>
        </w:tabs>
        <w:ind w:left="5040" w:hanging="1440"/>
      </w:pPr>
      <w:rPr>
        <w:rFonts w:cs="Times New Roman" w:hint="default"/>
        <w:vanish w:val="0"/>
        <w:u w:val="none"/>
      </w:rPr>
    </w:lvl>
    <w:lvl w:ilvl="7">
      <w:start w:val="1"/>
      <w:numFmt w:val="decimal"/>
      <w:pStyle w:val="Heading8"/>
      <w:isLgl/>
      <w:lvlText w:val="%1.%2.%3.%4.%5.%6.%7.%8"/>
      <w:lvlJc w:val="left"/>
      <w:pPr>
        <w:tabs>
          <w:tab w:val="num" w:pos="6048"/>
        </w:tabs>
        <w:ind w:left="6048" w:hanging="1728"/>
      </w:pPr>
      <w:rPr>
        <w:rFonts w:cs="Times New Roman" w:hint="default"/>
        <w:vanish w:val="0"/>
        <w:u w:val="none"/>
      </w:rPr>
    </w:lvl>
    <w:lvl w:ilvl="8">
      <w:start w:val="1"/>
      <w:numFmt w:val="decimal"/>
      <w:pStyle w:val="Heading9"/>
      <w:isLgl/>
      <w:lvlText w:val="%1..%3.%4.%5.%6.%7.%8.%9"/>
      <w:lvlJc w:val="left"/>
      <w:pPr>
        <w:tabs>
          <w:tab w:val="num" w:pos="6768"/>
        </w:tabs>
        <w:ind w:left="6768" w:hanging="1728"/>
      </w:pPr>
      <w:rPr>
        <w:rFonts w:cs="Times New Roman" w:hint="default"/>
        <w:vanish w:val="0"/>
        <w:u w:val="none"/>
      </w:rPr>
    </w:lvl>
  </w:abstractNum>
  <w:abstractNum w:abstractNumId="13" w15:restartNumberingAfterBreak="0">
    <w:nsid w:val="45E10BFF"/>
    <w:multiLevelType w:val="multilevel"/>
    <w:tmpl w:val="B908E982"/>
    <w:lvl w:ilvl="0">
      <w:start w:val="1"/>
      <w:numFmt w:val="decimal"/>
      <w:pStyle w:val="ListNumber"/>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14" w15:restartNumberingAfterBreak="0">
    <w:nsid w:val="479679BD"/>
    <w:multiLevelType w:val="hybridMultilevel"/>
    <w:tmpl w:val="810AC856"/>
    <w:lvl w:ilvl="0" w:tplc="2C5AF8FC">
      <w:start w:val="1"/>
      <w:numFmt w:val="bullet"/>
      <w:pStyle w:val="ListBullet2"/>
      <w:lvlText w:val=""/>
      <w:lvlJc w:val="left"/>
      <w:pPr>
        <w:tabs>
          <w:tab w:val="num" w:pos="720"/>
        </w:tabs>
        <w:ind w:left="1440" w:hanging="720"/>
      </w:pPr>
      <w:rPr>
        <w:rFonts w:ascii="Symbol" w:hAnsi="Symbol" w:hint="default"/>
      </w:rPr>
    </w:lvl>
    <w:lvl w:ilvl="1" w:tplc="7E388656" w:tentative="1">
      <w:start w:val="1"/>
      <w:numFmt w:val="bullet"/>
      <w:lvlText w:val="o"/>
      <w:lvlJc w:val="left"/>
      <w:pPr>
        <w:tabs>
          <w:tab w:val="num" w:pos="1440"/>
        </w:tabs>
        <w:ind w:left="1440" w:hanging="360"/>
      </w:pPr>
      <w:rPr>
        <w:rFonts w:ascii="Courier New" w:hAnsi="Courier New" w:cs="Courier New" w:hint="default"/>
      </w:rPr>
    </w:lvl>
    <w:lvl w:ilvl="2" w:tplc="1C0678A8" w:tentative="1">
      <w:start w:val="1"/>
      <w:numFmt w:val="bullet"/>
      <w:lvlText w:val=""/>
      <w:lvlJc w:val="left"/>
      <w:pPr>
        <w:tabs>
          <w:tab w:val="num" w:pos="2160"/>
        </w:tabs>
        <w:ind w:left="2160" w:hanging="360"/>
      </w:pPr>
      <w:rPr>
        <w:rFonts w:ascii="Wingdings" w:hAnsi="Wingdings" w:hint="default"/>
      </w:rPr>
    </w:lvl>
    <w:lvl w:ilvl="3" w:tplc="4E78DE00" w:tentative="1">
      <w:start w:val="1"/>
      <w:numFmt w:val="bullet"/>
      <w:lvlText w:val=""/>
      <w:lvlJc w:val="left"/>
      <w:pPr>
        <w:tabs>
          <w:tab w:val="num" w:pos="2880"/>
        </w:tabs>
        <w:ind w:left="2880" w:hanging="360"/>
      </w:pPr>
      <w:rPr>
        <w:rFonts w:ascii="Symbol" w:hAnsi="Symbol" w:hint="default"/>
      </w:rPr>
    </w:lvl>
    <w:lvl w:ilvl="4" w:tplc="6A5A756E" w:tentative="1">
      <w:start w:val="1"/>
      <w:numFmt w:val="bullet"/>
      <w:lvlText w:val="o"/>
      <w:lvlJc w:val="left"/>
      <w:pPr>
        <w:tabs>
          <w:tab w:val="num" w:pos="3600"/>
        </w:tabs>
        <w:ind w:left="3600" w:hanging="360"/>
      </w:pPr>
      <w:rPr>
        <w:rFonts w:ascii="Courier New" w:hAnsi="Courier New" w:cs="Courier New" w:hint="default"/>
      </w:rPr>
    </w:lvl>
    <w:lvl w:ilvl="5" w:tplc="9B86EE72" w:tentative="1">
      <w:start w:val="1"/>
      <w:numFmt w:val="bullet"/>
      <w:lvlText w:val=""/>
      <w:lvlJc w:val="left"/>
      <w:pPr>
        <w:tabs>
          <w:tab w:val="num" w:pos="4320"/>
        </w:tabs>
        <w:ind w:left="4320" w:hanging="360"/>
      </w:pPr>
      <w:rPr>
        <w:rFonts w:ascii="Wingdings" w:hAnsi="Wingdings" w:hint="default"/>
      </w:rPr>
    </w:lvl>
    <w:lvl w:ilvl="6" w:tplc="120E2148" w:tentative="1">
      <w:start w:val="1"/>
      <w:numFmt w:val="bullet"/>
      <w:lvlText w:val=""/>
      <w:lvlJc w:val="left"/>
      <w:pPr>
        <w:tabs>
          <w:tab w:val="num" w:pos="5040"/>
        </w:tabs>
        <w:ind w:left="5040" w:hanging="360"/>
      </w:pPr>
      <w:rPr>
        <w:rFonts w:ascii="Symbol" w:hAnsi="Symbol" w:hint="default"/>
      </w:rPr>
    </w:lvl>
    <w:lvl w:ilvl="7" w:tplc="5022990A" w:tentative="1">
      <w:start w:val="1"/>
      <w:numFmt w:val="bullet"/>
      <w:lvlText w:val="o"/>
      <w:lvlJc w:val="left"/>
      <w:pPr>
        <w:tabs>
          <w:tab w:val="num" w:pos="5760"/>
        </w:tabs>
        <w:ind w:left="5760" w:hanging="360"/>
      </w:pPr>
      <w:rPr>
        <w:rFonts w:ascii="Courier New" w:hAnsi="Courier New" w:cs="Courier New" w:hint="default"/>
      </w:rPr>
    </w:lvl>
    <w:lvl w:ilvl="8" w:tplc="9C2CB6D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6948AC"/>
    <w:multiLevelType w:val="multilevel"/>
    <w:tmpl w:val="245671F8"/>
    <w:lvl w:ilvl="0">
      <w:start w:val="1"/>
      <w:numFmt w:val="lowerLetter"/>
      <w:pStyle w:val="ListAlpha"/>
      <w:lvlText w:val="%1)"/>
      <w:lvlJc w:val="left"/>
      <w:pPr>
        <w:ind w:left="2304" w:hanging="720"/>
      </w:pPr>
      <w:rPr>
        <w:rFonts w:hint="default"/>
      </w:rPr>
    </w:lvl>
    <w:lvl w:ilvl="1">
      <w:start w:val="1"/>
      <w:numFmt w:val="decimal"/>
      <w:lvlText w:val="%2."/>
      <w:lvlJc w:val="left"/>
      <w:pPr>
        <w:ind w:left="3600" w:hanging="720"/>
      </w:pPr>
      <w:rPr>
        <w:rFonts w:hint="default"/>
      </w:rPr>
    </w:lvl>
    <w:lvl w:ilvl="2">
      <w:start w:val="1"/>
      <w:numFmt w:val="lowerRoman"/>
      <w:lvlText w:val="%3."/>
      <w:lvlJc w:val="right"/>
      <w:pPr>
        <w:ind w:left="4320" w:hanging="720"/>
      </w:pPr>
      <w:rPr>
        <w:rFonts w:hint="default"/>
      </w:rPr>
    </w:lvl>
    <w:lvl w:ilvl="3">
      <w:start w:val="1"/>
      <w:numFmt w:val="lowerLetter"/>
      <w:lvlText w:val="(%4)"/>
      <w:lvlJc w:val="left"/>
      <w:pPr>
        <w:ind w:left="5040" w:hanging="720"/>
      </w:pPr>
      <w:rPr>
        <w:rFonts w:hint="default"/>
      </w:rPr>
    </w:lvl>
    <w:lvl w:ilvl="4">
      <w:start w:val="1"/>
      <w:numFmt w:val="decimal"/>
      <w:lvlText w:val="(%5)"/>
      <w:lvlJc w:val="left"/>
      <w:pPr>
        <w:ind w:left="5760" w:hanging="720"/>
      </w:pPr>
      <w:rPr>
        <w:rFonts w:hint="default"/>
      </w:rPr>
    </w:lvl>
    <w:lvl w:ilvl="5">
      <w:start w:val="1"/>
      <w:numFmt w:val="lowerRoman"/>
      <w:lvlText w:val="(%6)"/>
      <w:lvlJc w:val="right"/>
      <w:pPr>
        <w:ind w:left="6480" w:hanging="720"/>
      </w:pPr>
      <w:rPr>
        <w:rFonts w:hint="default"/>
      </w:rPr>
    </w:lvl>
    <w:lvl w:ilvl="6">
      <w:start w:val="1"/>
      <w:numFmt w:val="lowerLetter"/>
      <w:lvlText w:val="%7."/>
      <w:lvlJc w:val="left"/>
      <w:pPr>
        <w:ind w:left="7200" w:hanging="720"/>
      </w:pPr>
      <w:rPr>
        <w:rFonts w:hint="default"/>
      </w:rPr>
    </w:lvl>
    <w:lvl w:ilvl="7">
      <w:start w:val="1"/>
      <w:numFmt w:val="decimal"/>
      <w:lvlText w:val="%8)"/>
      <w:lvlJc w:val="left"/>
      <w:pPr>
        <w:ind w:left="7920" w:hanging="720"/>
      </w:pPr>
      <w:rPr>
        <w:rFonts w:hint="default"/>
      </w:rPr>
    </w:lvl>
    <w:lvl w:ilvl="8">
      <w:start w:val="1"/>
      <w:numFmt w:val="lowerRoman"/>
      <w:lvlText w:val="%9)"/>
      <w:lvlJc w:val="right"/>
      <w:pPr>
        <w:ind w:left="8640" w:hanging="720"/>
      </w:pPr>
      <w:rPr>
        <w:rFonts w:hint="default"/>
      </w:rPr>
    </w:lvl>
  </w:abstractNum>
  <w:abstractNum w:abstractNumId="16" w15:restartNumberingAfterBreak="0">
    <w:nsid w:val="69D01562"/>
    <w:multiLevelType w:val="multilevel"/>
    <w:tmpl w:val="B2BA0D06"/>
    <w:lvl w:ilvl="0">
      <w:start w:val="1"/>
      <w:numFmt w:val="decimal"/>
      <w:lvlText w:val="%1."/>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1">
      <w:start w:val="1"/>
      <w:numFmt w:val="lowerLetter"/>
      <w:lvlText w:val="%2."/>
      <w:lvlJc w:val="left"/>
      <w:pPr>
        <w:ind w:left="0" w:firstLine="360"/>
      </w:pPr>
      <w:rPr>
        <w:rFonts w:hint="default"/>
      </w:rPr>
    </w:lvl>
    <w:lvl w:ilvl="2">
      <w:start w:val="1"/>
      <w:numFmt w:val="decimal"/>
      <w:lvlText w:val="%3)"/>
      <w:lvlJc w:val="left"/>
      <w:pPr>
        <w:ind w:left="0" w:firstLine="144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B5C0813"/>
    <w:multiLevelType w:val="multilevel"/>
    <w:tmpl w:val="F2E6F5FC"/>
    <w:lvl w:ilvl="0">
      <w:start w:val="1"/>
      <w:numFmt w:val="decimal"/>
      <w:pStyle w:val="ListNumberIndent"/>
      <w:lvlText w:val="%1."/>
      <w:lvlJc w:val="left"/>
      <w:pPr>
        <w:ind w:left="1440" w:hanging="720"/>
      </w:pPr>
      <w:rPr>
        <w:rFonts w:hint="default"/>
      </w:rPr>
    </w:lvl>
    <w:lvl w:ilvl="1">
      <w:start w:val="1"/>
      <w:numFmt w:val="lowerLetter"/>
      <w:lvlText w:val="%2."/>
      <w:lvlJc w:val="left"/>
      <w:pPr>
        <w:ind w:left="2160" w:hanging="720"/>
      </w:pPr>
      <w:rPr>
        <w:rFonts w:hint="default"/>
      </w:rPr>
    </w:lvl>
    <w:lvl w:ilvl="2">
      <w:start w:val="1"/>
      <w:numFmt w:val="lowerRoman"/>
      <w:lvlText w:val="%3."/>
      <w:lvlJc w:val="right"/>
      <w:pPr>
        <w:ind w:left="2880" w:hanging="720"/>
      </w:pPr>
      <w:rPr>
        <w:rFonts w:hint="default"/>
      </w:rPr>
    </w:lvl>
    <w:lvl w:ilvl="3">
      <w:start w:val="1"/>
      <w:numFmt w:val="decimal"/>
      <w:lvlText w:val="%4)"/>
      <w:lvlJc w:val="left"/>
      <w:pPr>
        <w:ind w:left="3600" w:hanging="720"/>
      </w:pPr>
      <w:rPr>
        <w:rFonts w:hint="default"/>
      </w:rPr>
    </w:lvl>
    <w:lvl w:ilvl="4">
      <w:start w:val="1"/>
      <w:numFmt w:val="lowerLetter"/>
      <w:lvlText w:val="%5)"/>
      <w:lvlJc w:val="left"/>
      <w:pPr>
        <w:ind w:left="4320" w:hanging="720"/>
      </w:pPr>
      <w:rPr>
        <w:rFonts w:hint="default"/>
      </w:rPr>
    </w:lvl>
    <w:lvl w:ilvl="5">
      <w:start w:val="1"/>
      <w:numFmt w:val="lowerRoman"/>
      <w:lvlText w:val="%6)"/>
      <w:lvlJc w:val="right"/>
      <w:pPr>
        <w:ind w:left="5040" w:hanging="720"/>
      </w:pPr>
      <w:rPr>
        <w:rFonts w:hint="default"/>
      </w:rPr>
    </w:lvl>
    <w:lvl w:ilvl="6">
      <w:start w:val="1"/>
      <w:numFmt w:val="decimal"/>
      <w:lvlText w:val="(%7)"/>
      <w:lvlJc w:val="left"/>
      <w:pPr>
        <w:ind w:left="5760" w:hanging="720"/>
      </w:pPr>
      <w:rPr>
        <w:rFonts w:hint="default"/>
      </w:rPr>
    </w:lvl>
    <w:lvl w:ilvl="7">
      <w:start w:val="1"/>
      <w:numFmt w:val="lowerLetter"/>
      <w:lvlText w:val="(%8)"/>
      <w:lvlJc w:val="left"/>
      <w:pPr>
        <w:ind w:left="6480" w:hanging="720"/>
      </w:pPr>
      <w:rPr>
        <w:rFonts w:hint="default"/>
      </w:rPr>
    </w:lvl>
    <w:lvl w:ilvl="8">
      <w:start w:val="1"/>
      <w:numFmt w:val="lowerRoman"/>
      <w:lvlText w:val="(%9)"/>
      <w:lvlJc w:val="right"/>
      <w:pPr>
        <w:ind w:left="7200" w:hanging="720"/>
      </w:pPr>
      <w:rPr>
        <w:rFonts w:hint="default"/>
      </w:rPr>
    </w:lvl>
  </w:abstractNum>
  <w:abstractNum w:abstractNumId="18" w15:restartNumberingAfterBreak="0">
    <w:nsid w:val="7E654713"/>
    <w:multiLevelType w:val="multilevel"/>
    <w:tmpl w:val="04090023"/>
    <w:styleLink w:val="ArticleSection"/>
    <w:lvl w:ilvl="0">
      <w:start w:val="1"/>
      <w:numFmt w:val="upperRoman"/>
      <w:lvlText w:val="Article %1."/>
      <w:lvlJc w:val="left"/>
      <w:pPr>
        <w:ind w:left="0" w:firstLine="0"/>
      </w:pPr>
      <w:rPr>
        <w:rFonts w:ascii="Times New Roman" w:hAnsi="Times New Roman" w:cs="Times New Roman"/>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E87665D"/>
    <w:multiLevelType w:val="hybridMultilevel"/>
    <w:tmpl w:val="2EEEC8C0"/>
    <w:lvl w:ilvl="0" w:tplc="D09C77EC">
      <w:start w:val="1"/>
      <w:numFmt w:val="bullet"/>
      <w:pStyle w:val="ListBullet"/>
      <w:lvlText w:val=""/>
      <w:lvlJc w:val="left"/>
      <w:pPr>
        <w:tabs>
          <w:tab w:val="num" w:pos="720"/>
        </w:tabs>
        <w:ind w:left="720" w:hanging="720"/>
      </w:pPr>
      <w:rPr>
        <w:rFonts w:ascii="Symbol" w:hAnsi="Symbol" w:hint="default"/>
      </w:rPr>
    </w:lvl>
    <w:lvl w:ilvl="1" w:tplc="23CEFECC" w:tentative="1">
      <w:start w:val="1"/>
      <w:numFmt w:val="bullet"/>
      <w:lvlText w:val="o"/>
      <w:lvlJc w:val="left"/>
      <w:pPr>
        <w:tabs>
          <w:tab w:val="num" w:pos="1440"/>
        </w:tabs>
        <w:ind w:left="1440" w:hanging="360"/>
      </w:pPr>
      <w:rPr>
        <w:rFonts w:ascii="Courier New" w:hAnsi="Courier New" w:cs="Courier New" w:hint="default"/>
      </w:rPr>
    </w:lvl>
    <w:lvl w:ilvl="2" w:tplc="84A08B5E" w:tentative="1">
      <w:start w:val="1"/>
      <w:numFmt w:val="bullet"/>
      <w:lvlText w:val=""/>
      <w:lvlJc w:val="left"/>
      <w:pPr>
        <w:tabs>
          <w:tab w:val="num" w:pos="2160"/>
        </w:tabs>
        <w:ind w:left="2160" w:hanging="360"/>
      </w:pPr>
      <w:rPr>
        <w:rFonts w:ascii="Wingdings" w:hAnsi="Wingdings" w:hint="default"/>
      </w:rPr>
    </w:lvl>
    <w:lvl w:ilvl="3" w:tplc="2216F494" w:tentative="1">
      <w:start w:val="1"/>
      <w:numFmt w:val="bullet"/>
      <w:lvlText w:val=""/>
      <w:lvlJc w:val="left"/>
      <w:pPr>
        <w:tabs>
          <w:tab w:val="num" w:pos="2880"/>
        </w:tabs>
        <w:ind w:left="2880" w:hanging="360"/>
      </w:pPr>
      <w:rPr>
        <w:rFonts w:ascii="Symbol" w:hAnsi="Symbol" w:hint="default"/>
      </w:rPr>
    </w:lvl>
    <w:lvl w:ilvl="4" w:tplc="7ADE06CA" w:tentative="1">
      <w:start w:val="1"/>
      <w:numFmt w:val="bullet"/>
      <w:lvlText w:val="o"/>
      <w:lvlJc w:val="left"/>
      <w:pPr>
        <w:tabs>
          <w:tab w:val="num" w:pos="3600"/>
        </w:tabs>
        <w:ind w:left="3600" w:hanging="360"/>
      </w:pPr>
      <w:rPr>
        <w:rFonts w:ascii="Courier New" w:hAnsi="Courier New" w:cs="Courier New" w:hint="default"/>
      </w:rPr>
    </w:lvl>
    <w:lvl w:ilvl="5" w:tplc="BF188E72" w:tentative="1">
      <w:start w:val="1"/>
      <w:numFmt w:val="bullet"/>
      <w:lvlText w:val=""/>
      <w:lvlJc w:val="left"/>
      <w:pPr>
        <w:tabs>
          <w:tab w:val="num" w:pos="4320"/>
        </w:tabs>
        <w:ind w:left="4320" w:hanging="360"/>
      </w:pPr>
      <w:rPr>
        <w:rFonts w:ascii="Wingdings" w:hAnsi="Wingdings" w:hint="default"/>
      </w:rPr>
    </w:lvl>
    <w:lvl w:ilvl="6" w:tplc="5882E596" w:tentative="1">
      <w:start w:val="1"/>
      <w:numFmt w:val="bullet"/>
      <w:lvlText w:val=""/>
      <w:lvlJc w:val="left"/>
      <w:pPr>
        <w:tabs>
          <w:tab w:val="num" w:pos="5040"/>
        </w:tabs>
        <w:ind w:left="5040" w:hanging="360"/>
      </w:pPr>
      <w:rPr>
        <w:rFonts w:ascii="Symbol" w:hAnsi="Symbol" w:hint="default"/>
      </w:rPr>
    </w:lvl>
    <w:lvl w:ilvl="7" w:tplc="547C6FDC" w:tentative="1">
      <w:start w:val="1"/>
      <w:numFmt w:val="bullet"/>
      <w:lvlText w:val="o"/>
      <w:lvlJc w:val="left"/>
      <w:pPr>
        <w:tabs>
          <w:tab w:val="num" w:pos="5760"/>
        </w:tabs>
        <w:ind w:left="5760" w:hanging="360"/>
      </w:pPr>
      <w:rPr>
        <w:rFonts w:ascii="Courier New" w:hAnsi="Courier New" w:cs="Courier New" w:hint="default"/>
      </w:rPr>
    </w:lvl>
    <w:lvl w:ilvl="8" w:tplc="CEEA994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8"/>
  </w:num>
  <w:num w:numId="4">
    <w:abstractNumId w:val="10"/>
  </w:num>
  <w:num w:numId="5">
    <w:abstractNumId w:val="18"/>
  </w:num>
  <w:num w:numId="6">
    <w:abstractNumId w:val="5"/>
  </w:num>
  <w:num w:numId="7">
    <w:abstractNumId w:val="4"/>
  </w:num>
  <w:num w:numId="8">
    <w:abstractNumId w:val="1"/>
  </w:num>
  <w:num w:numId="9">
    <w:abstractNumId w:val="0"/>
  </w:num>
  <w:num w:numId="10">
    <w:abstractNumId w:val="17"/>
  </w:num>
  <w:num w:numId="11">
    <w:abstractNumId w:val="14"/>
  </w:num>
  <w:num w:numId="12">
    <w:abstractNumId w:val="3"/>
  </w:num>
  <w:num w:numId="13">
    <w:abstractNumId w:val="2"/>
  </w:num>
  <w:num w:numId="14">
    <w:abstractNumId w:val="9"/>
  </w:num>
  <w:num w:numId="15">
    <w:abstractNumId w:val="13"/>
  </w:num>
  <w:num w:numId="16">
    <w:abstractNumId w:val="1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7805" w:allStyles="1"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720"/>
  <w:noPunctuationKerning/>
  <w:characterSpacingControl w:val="doNotCompress"/>
  <w:footnotePr>
    <w:footnote w:id="-1"/>
    <w:footnote w:id="0"/>
  </w:footnotePr>
  <w:endnotePr>
    <w:endnote w:id="-1"/>
    <w:endnote w:id="0"/>
  </w:endnotePr>
  <w:compat>
    <w:doNotExpandShiftReturn/>
    <w:printColBlack/>
    <w:suppressBottomSpacing/>
    <w:suppressTopSpacing/>
    <w:doNotUseHTMLParagraphAutoSpacing/>
    <w:useWord2002TableStyleRules/>
    <w:growAutofit/>
    <w:useFELayout/>
    <w:allowSpaceOfSameStyleInTable/>
    <w:doNotSuppressIndentation/>
    <w:doNotAutofitConstrainedTables/>
    <w:autofitToFirstFixedWidthCell/>
    <w:displayHangulFixedWidth/>
    <w:splitPgBreakAndParaMark/>
    <w:doNotVertAlignCellWithSp/>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B7A"/>
    <w:rsid w:val="009760CB"/>
    <w:rsid w:val="00C05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F11E04"/>
  <w15:docId w15:val="{33EF9ADE-FE37-4023-B59C-4A8C6F20E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99"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Pr>
      <w:rFonts w:eastAsiaTheme="minorHAnsi" w:cstheme="minorBidi"/>
    </w:rPr>
  </w:style>
  <w:style w:type="paragraph" w:styleId="Heading1">
    <w:name w:val="heading 1"/>
    <w:basedOn w:val="Normal"/>
    <w:next w:val="BodyTextFlush"/>
    <w:link w:val="Heading1Char"/>
    <w:uiPriority w:val="9"/>
    <w:qFormat/>
    <w:pPr>
      <w:keepNext/>
      <w:keepLines/>
      <w:numPr>
        <w:numId w:val="26"/>
      </w:numPr>
      <w:spacing w:before="240"/>
      <w:outlineLvl w:val="0"/>
    </w:pPr>
    <w:rPr>
      <w:rFonts w:cs="Arial"/>
      <w:b/>
      <w:bCs/>
      <w:caps/>
      <w:kern w:val="24"/>
      <w:sz w:val="20"/>
      <w:szCs w:val="20"/>
      <w:u w:val="single"/>
    </w:rPr>
  </w:style>
  <w:style w:type="paragraph" w:styleId="Heading2">
    <w:name w:val="heading 2"/>
    <w:basedOn w:val="Normal"/>
    <w:next w:val="BodyTextFlush"/>
    <w:link w:val="Heading2Char"/>
    <w:uiPriority w:val="9"/>
    <w:qFormat/>
    <w:pPr>
      <w:numPr>
        <w:ilvl w:val="1"/>
        <w:numId w:val="26"/>
      </w:numPr>
      <w:spacing w:before="200"/>
      <w:jc w:val="both"/>
      <w:outlineLvl w:val="1"/>
    </w:pPr>
    <w:rPr>
      <w:rFonts w:cs="Arial"/>
      <w:bCs/>
      <w:iCs/>
      <w:kern w:val="24"/>
      <w:sz w:val="20"/>
      <w:szCs w:val="20"/>
    </w:rPr>
  </w:style>
  <w:style w:type="paragraph" w:styleId="Heading3">
    <w:name w:val="heading 3"/>
    <w:basedOn w:val="Normal"/>
    <w:link w:val="Heading3Char"/>
    <w:uiPriority w:val="9"/>
    <w:qFormat/>
    <w:pPr>
      <w:numPr>
        <w:ilvl w:val="2"/>
        <w:numId w:val="26"/>
      </w:numPr>
      <w:tabs>
        <w:tab w:val="clear" w:pos="5850"/>
        <w:tab w:val="num" w:pos="1440"/>
      </w:tabs>
      <w:spacing w:before="200"/>
      <w:ind w:left="2419"/>
      <w:jc w:val="both"/>
      <w:outlineLvl w:val="2"/>
    </w:pPr>
    <w:rPr>
      <w:rFonts w:cs="Arial"/>
      <w:bCs/>
      <w:kern w:val="24"/>
      <w:sz w:val="20"/>
      <w:szCs w:val="20"/>
    </w:rPr>
  </w:style>
  <w:style w:type="paragraph" w:styleId="Heading4">
    <w:name w:val="heading 4"/>
    <w:basedOn w:val="Normal"/>
    <w:link w:val="Heading4Char"/>
    <w:uiPriority w:val="9"/>
    <w:qFormat/>
    <w:pPr>
      <w:numPr>
        <w:ilvl w:val="3"/>
        <w:numId w:val="26"/>
      </w:numPr>
      <w:spacing w:before="200"/>
      <w:jc w:val="both"/>
      <w:outlineLvl w:val="3"/>
    </w:pPr>
    <w:rPr>
      <w:bCs/>
      <w:kern w:val="24"/>
      <w:sz w:val="20"/>
      <w:szCs w:val="20"/>
    </w:rPr>
  </w:style>
  <w:style w:type="paragraph" w:styleId="Heading5">
    <w:name w:val="heading 5"/>
    <w:basedOn w:val="Normal"/>
    <w:link w:val="Heading5Char"/>
    <w:uiPriority w:val="9"/>
    <w:semiHidden/>
    <w:qFormat/>
    <w:pPr>
      <w:numPr>
        <w:ilvl w:val="4"/>
        <w:numId w:val="26"/>
      </w:numPr>
      <w:spacing w:before="200"/>
      <w:jc w:val="both"/>
      <w:outlineLvl w:val="4"/>
    </w:pPr>
    <w:rPr>
      <w:bCs/>
      <w:iCs/>
      <w:kern w:val="24"/>
      <w:sz w:val="20"/>
      <w:szCs w:val="20"/>
    </w:rPr>
  </w:style>
  <w:style w:type="paragraph" w:styleId="Heading6">
    <w:name w:val="heading 6"/>
    <w:basedOn w:val="Normal"/>
    <w:next w:val="BodyTextFlush"/>
    <w:link w:val="Heading6Char"/>
    <w:uiPriority w:val="9"/>
    <w:semiHidden/>
    <w:qFormat/>
    <w:pPr>
      <w:numPr>
        <w:ilvl w:val="5"/>
        <w:numId w:val="26"/>
      </w:numPr>
      <w:spacing w:before="240"/>
      <w:jc w:val="both"/>
      <w:outlineLvl w:val="5"/>
    </w:pPr>
    <w:rPr>
      <w:bCs/>
      <w:kern w:val="24"/>
    </w:rPr>
  </w:style>
  <w:style w:type="paragraph" w:styleId="Heading7">
    <w:name w:val="heading 7"/>
    <w:basedOn w:val="Normal"/>
    <w:next w:val="BodyTextFlush"/>
    <w:link w:val="Heading7Char"/>
    <w:uiPriority w:val="9"/>
    <w:semiHidden/>
    <w:qFormat/>
    <w:pPr>
      <w:numPr>
        <w:ilvl w:val="6"/>
        <w:numId w:val="26"/>
      </w:numPr>
      <w:spacing w:before="240"/>
      <w:jc w:val="both"/>
      <w:outlineLvl w:val="6"/>
    </w:pPr>
    <w:rPr>
      <w:kern w:val="24"/>
    </w:rPr>
  </w:style>
  <w:style w:type="paragraph" w:styleId="Heading8">
    <w:name w:val="heading 8"/>
    <w:basedOn w:val="Normal"/>
    <w:next w:val="BodyTextFlush"/>
    <w:link w:val="Heading8Char"/>
    <w:uiPriority w:val="9"/>
    <w:semiHidden/>
    <w:qFormat/>
    <w:pPr>
      <w:numPr>
        <w:ilvl w:val="7"/>
        <w:numId w:val="26"/>
      </w:numPr>
      <w:spacing w:before="240"/>
      <w:jc w:val="both"/>
      <w:outlineLvl w:val="7"/>
    </w:pPr>
    <w:rPr>
      <w:iCs/>
      <w:kern w:val="24"/>
    </w:rPr>
  </w:style>
  <w:style w:type="paragraph" w:styleId="Heading9">
    <w:name w:val="heading 9"/>
    <w:basedOn w:val="Normal"/>
    <w:next w:val="BodyTextFlush"/>
    <w:link w:val="Heading9Char"/>
    <w:uiPriority w:val="9"/>
    <w:semiHidden/>
    <w:qFormat/>
    <w:pPr>
      <w:numPr>
        <w:ilvl w:val="8"/>
        <w:numId w:val="26"/>
      </w:numPr>
      <w:spacing w:before="240"/>
      <w:jc w:val="both"/>
      <w:outlineLvl w:val="8"/>
    </w:pPr>
    <w:rPr>
      <w:rFonts w:cs="Arial"/>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rPr>
      <w:rFonts w:ascii="Times New Roman" w:eastAsia="Times New Roman" w:hAnsi="Times New Roman" w:cs="Times New Roman"/>
      <w:sz w:val="16"/>
      <w:szCs w:val="16"/>
    </w:rPr>
  </w:style>
  <w:style w:type="paragraph" w:customStyle="1" w:styleId="Quote1">
    <w:name w:val="Quote1"/>
    <w:aliases w:val="q"/>
    <w:basedOn w:val="Normal"/>
    <w:next w:val="QuoteContinued"/>
    <w:semiHidden/>
    <w:pPr>
      <w:spacing w:before="240"/>
      <w:ind w:left="1440" w:right="1440"/>
    </w:pPr>
  </w:style>
  <w:style w:type="paragraph" w:customStyle="1" w:styleId="QuoteDoubleSpace">
    <w:name w:val="Quote DoubleSpace"/>
    <w:aliases w:val="qd"/>
    <w:basedOn w:val="Quote1"/>
    <w:next w:val="Normal"/>
    <w:semiHidden/>
    <w:pPr>
      <w:spacing w:line="480" w:lineRule="auto"/>
    </w:pPr>
  </w:style>
  <w:style w:type="paragraph" w:styleId="TOC1">
    <w:name w:val="toc 1"/>
    <w:basedOn w:val="Normal"/>
    <w:next w:val="Normal"/>
    <w:link w:val="TOC1Char"/>
    <w:uiPriority w:val="39"/>
    <w:pPr>
      <w:tabs>
        <w:tab w:val="right" w:leader="dot" w:pos="9360"/>
      </w:tabs>
      <w:spacing w:after="100"/>
      <w:ind w:left="720" w:right="720" w:hanging="720"/>
    </w:pPr>
    <w:rPr>
      <w:noProof/>
      <w:sz w:val="20"/>
      <w:szCs w:val="20"/>
    </w:rPr>
  </w:style>
  <w:style w:type="paragraph" w:customStyle="1" w:styleId="QuoteContinued">
    <w:name w:val="Quote Continued"/>
    <w:basedOn w:val="Normal"/>
    <w:next w:val="BalloonText"/>
    <w:semiHidden/>
    <w:pPr>
      <w:spacing w:before="240"/>
    </w:pPr>
  </w:style>
  <w:style w:type="paragraph" w:styleId="TOC2">
    <w:name w:val="toc 2"/>
    <w:basedOn w:val="Normal"/>
    <w:next w:val="Normal"/>
    <w:semiHidden/>
    <w:pPr>
      <w:tabs>
        <w:tab w:val="right" w:leader="dot" w:pos="9360"/>
      </w:tabs>
      <w:spacing w:after="240"/>
      <w:ind w:left="1440" w:right="720" w:hanging="720"/>
    </w:pPr>
    <w:rPr>
      <w:noProof/>
    </w:rPr>
  </w:style>
  <w:style w:type="paragraph" w:styleId="TOC3">
    <w:name w:val="toc 3"/>
    <w:basedOn w:val="Normal"/>
    <w:next w:val="Normal"/>
    <w:semiHidden/>
    <w:pPr>
      <w:tabs>
        <w:tab w:val="right" w:leader="dot" w:pos="9360"/>
      </w:tabs>
      <w:spacing w:after="240"/>
      <w:ind w:left="2160" w:right="720" w:hanging="720"/>
    </w:pPr>
    <w:rPr>
      <w:noProof/>
    </w:rPr>
  </w:style>
  <w:style w:type="paragraph" w:customStyle="1" w:styleId="BodyTextFlush">
    <w:name w:val="Body Text Flush"/>
    <w:basedOn w:val="Normal"/>
    <w:link w:val="BodyTextFlushChar"/>
    <w:qFormat/>
    <w:pPr>
      <w:spacing w:before="240"/>
      <w:jc w:val="both"/>
    </w:pPr>
  </w:style>
  <w:style w:type="paragraph" w:styleId="Signature">
    <w:name w:val="Signature"/>
    <w:basedOn w:val="Normal"/>
    <w:link w:val="SignatureChar"/>
    <w:pPr>
      <w:keepNext/>
      <w:keepLines/>
      <w:tabs>
        <w:tab w:val="left" w:pos="9180"/>
      </w:tabs>
      <w:spacing w:before="240"/>
    </w:pPr>
    <w:rPr>
      <w:noProof/>
    </w:rPr>
  </w:style>
  <w:style w:type="character" w:customStyle="1" w:styleId="SignatureChar">
    <w:name w:val="Signature Char"/>
    <w:basedOn w:val="DefaultParagraphFont"/>
    <w:link w:val="Signature"/>
    <w:rPr>
      <w:rFonts w:ascii="Times New Roman" w:eastAsia="Times New Roman" w:hAnsi="Times New Roman" w:cs="Times New Roman"/>
      <w:noProof/>
      <w:sz w:val="24"/>
      <w:szCs w:val="20"/>
    </w:rPr>
  </w:style>
  <w:style w:type="paragraph" w:customStyle="1" w:styleId="SignatureName">
    <w:name w:val="SignatureName"/>
    <w:basedOn w:val="Normal"/>
    <w:semiHidden/>
    <w:pPr>
      <w:spacing w:before="720"/>
    </w:pPr>
  </w:style>
  <w:style w:type="paragraph" w:styleId="BodyTextFirstIndent">
    <w:name w:val="Body Text First Indent"/>
    <w:basedOn w:val="Normal"/>
    <w:link w:val="BodyTextFirstIndentChar"/>
    <w:qFormat/>
    <w:pPr>
      <w:widowControl w:val="0"/>
      <w:spacing w:before="240"/>
      <w:ind w:firstLine="720"/>
      <w:jc w:val="both"/>
    </w:pPr>
    <w:rPr>
      <w:rFonts w:eastAsiaTheme="minorEastAsia"/>
    </w:rPr>
  </w:style>
  <w:style w:type="character" w:customStyle="1" w:styleId="BodyTextFirstIndentChar">
    <w:name w:val="Body Text First Indent Char"/>
    <w:basedOn w:val="DefaultParagraphFont"/>
    <w:link w:val="BodyTextFirstIndent"/>
    <w:rPr>
      <w:rFonts w:cstheme="minorBidi"/>
    </w:rPr>
  </w:style>
  <w:style w:type="character" w:customStyle="1" w:styleId="Heading1Char">
    <w:name w:val="Heading 1 Char"/>
    <w:basedOn w:val="DefaultParagraphFont"/>
    <w:link w:val="Heading1"/>
    <w:uiPriority w:val="9"/>
    <w:rPr>
      <w:rFonts w:eastAsiaTheme="minorHAnsi" w:cs="Arial"/>
      <w:b/>
      <w:bCs/>
      <w:caps/>
      <w:kern w:val="24"/>
      <w:sz w:val="20"/>
      <w:szCs w:val="20"/>
      <w:u w:val="single"/>
    </w:rPr>
  </w:style>
  <w:style w:type="character" w:customStyle="1" w:styleId="Heading2Char">
    <w:name w:val="Heading 2 Char"/>
    <w:basedOn w:val="DefaultParagraphFont"/>
    <w:link w:val="Heading2"/>
    <w:uiPriority w:val="9"/>
    <w:rPr>
      <w:rFonts w:eastAsiaTheme="minorHAnsi" w:cs="Arial"/>
      <w:bCs/>
      <w:iCs/>
      <w:kern w:val="24"/>
      <w:sz w:val="20"/>
      <w:szCs w:val="20"/>
    </w:rPr>
  </w:style>
  <w:style w:type="character" w:customStyle="1" w:styleId="Heading3Char">
    <w:name w:val="Heading 3 Char"/>
    <w:basedOn w:val="DefaultParagraphFont"/>
    <w:link w:val="Heading3"/>
    <w:uiPriority w:val="9"/>
    <w:rPr>
      <w:rFonts w:eastAsiaTheme="minorHAnsi" w:cs="Arial"/>
      <w:bCs/>
      <w:kern w:val="24"/>
      <w:sz w:val="20"/>
      <w:szCs w:val="20"/>
    </w:rPr>
  </w:style>
  <w:style w:type="character" w:customStyle="1" w:styleId="Heading4Char">
    <w:name w:val="Heading 4 Char"/>
    <w:basedOn w:val="DefaultParagraphFont"/>
    <w:link w:val="Heading4"/>
    <w:uiPriority w:val="9"/>
    <w:rPr>
      <w:rFonts w:eastAsiaTheme="minorHAnsi" w:cstheme="minorBidi"/>
      <w:bCs/>
      <w:kern w:val="24"/>
      <w:sz w:val="20"/>
      <w:szCs w:val="20"/>
    </w:rPr>
  </w:style>
  <w:style w:type="character" w:customStyle="1" w:styleId="Heading5Char">
    <w:name w:val="Heading 5 Char"/>
    <w:basedOn w:val="DefaultParagraphFont"/>
    <w:link w:val="Heading5"/>
    <w:uiPriority w:val="9"/>
    <w:semiHidden/>
    <w:rPr>
      <w:rFonts w:eastAsiaTheme="minorHAnsi" w:cstheme="minorBidi"/>
      <w:bCs/>
      <w:iCs/>
      <w:kern w:val="24"/>
      <w:sz w:val="20"/>
      <w:szCs w:val="20"/>
    </w:rPr>
  </w:style>
  <w:style w:type="character" w:customStyle="1" w:styleId="Heading6Char">
    <w:name w:val="Heading 6 Char"/>
    <w:basedOn w:val="DefaultParagraphFont"/>
    <w:link w:val="Heading6"/>
    <w:uiPriority w:val="9"/>
    <w:semiHidden/>
    <w:rPr>
      <w:rFonts w:eastAsiaTheme="minorHAnsi" w:cstheme="minorBidi"/>
      <w:bCs/>
      <w:kern w:val="24"/>
    </w:rPr>
  </w:style>
  <w:style w:type="character" w:customStyle="1" w:styleId="Heading7Char">
    <w:name w:val="Heading 7 Char"/>
    <w:basedOn w:val="DefaultParagraphFont"/>
    <w:link w:val="Heading7"/>
    <w:uiPriority w:val="9"/>
    <w:semiHidden/>
    <w:rPr>
      <w:rFonts w:eastAsiaTheme="minorHAnsi" w:cstheme="minorBidi"/>
      <w:kern w:val="24"/>
    </w:rPr>
  </w:style>
  <w:style w:type="character" w:customStyle="1" w:styleId="Heading8Char">
    <w:name w:val="Heading 8 Char"/>
    <w:basedOn w:val="DefaultParagraphFont"/>
    <w:link w:val="Heading8"/>
    <w:uiPriority w:val="9"/>
    <w:semiHidden/>
    <w:rPr>
      <w:rFonts w:eastAsiaTheme="minorHAnsi" w:cstheme="minorBidi"/>
      <w:iCs/>
      <w:kern w:val="24"/>
    </w:rPr>
  </w:style>
  <w:style w:type="character" w:customStyle="1" w:styleId="Heading9Char">
    <w:name w:val="Heading 9 Char"/>
    <w:basedOn w:val="DefaultParagraphFont"/>
    <w:link w:val="Heading9"/>
    <w:uiPriority w:val="9"/>
    <w:semiHidden/>
    <w:rPr>
      <w:rFonts w:eastAsiaTheme="minorHAnsi" w:cs="Arial"/>
      <w:kern w:val="24"/>
    </w:rPr>
  </w:style>
  <w:style w:type="paragraph" w:styleId="ListBullet">
    <w:name w:val="List Bullet"/>
    <w:basedOn w:val="Normal"/>
    <w:qFormat/>
    <w:pPr>
      <w:numPr>
        <w:numId w:val="2"/>
      </w:numPr>
      <w:spacing w:before="240"/>
      <w:jc w:val="both"/>
    </w:pPr>
  </w:style>
  <w:style w:type="paragraph" w:styleId="ListBullet2">
    <w:name w:val="List Bullet 2"/>
    <w:basedOn w:val="Normal"/>
    <w:semiHidden/>
    <w:pPr>
      <w:numPr>
        <w:numId w:val="11"/>
      </w:numPr>
      <w:spacing w:before="240"/>
    </w:pPr>
    <w:rPr>
      <w:rFonts w:eastAsia="Times New Roman" w:cs="Times New Roman"/>
    </w:rPr>
  </w:style>
  <w:style w:type="paragraph" w:styleId="ListBullet3">
    <w:name w:val="List Bullet 3"/>
    <w:basedOn w:val="Normal"/>
    <w:autoRedefine/>
    <w:semiHidden/>
    <w:pPr>
      <w:numPr>
        <w:numId w:val="1"/>
      </w:numPr>
      <w:spacing w:before="240"/>
    </w:pPr>
  </w:style>
  <w:style w:type="paragraph" w:styleId="ListNumber">
    <w:name w:val="List Number"/>
    <w:basedOn w:val="Normal"/>
    <w:uiPriority w:val="99"/>
    <w:pPr>
      <w:numPr>
        <w:numId w:val="15"/>
      </w:numPr>
      <w:spacing w:before="200"/>
      <w:jc w:val="both"/>
    </w:pPr>
    <w:rPr>
      <w:sz w:val="20"/>
      <w:szCs w:val="20"/>
    </w:rPr>
  </w:style>
  <w:style w:type="paragraph" w:styleId="ListNumber2">
    <w:name w:val="List Number 2"/>
    <w:basedOn w:val="Normal"/>
    <w:semiHidden/>
    <w:pPr>
      <w:numPr>
        <w:numId w:val="12"/>
      </w:numPr>
      <w:spacing w:before="240"/>
      <w:jc w:val="both"/>
    </w:pPr>
    <w:rPr>
      <w:rFonts w:eastAsia="Times New Roman" w:cs="Times New Roman"/>
    </w:rPr>
  </w:style>
  <w:style w:type="paragraph" w:styleId="ListNumber3">
    <w:name w:val="List Number 3"/>
    <w:basedOn w:val="Normal"/>
    <w:semiHidden/>
    <w:pPr>
      <w:numPr>
        <w:numId w:val="13"/>
      </w:numPr>
      <w:tabs>
        <w:tab w:val="left" w:pos="2160"/>
      </w:tabs>
      <w:spacing w:before="240"/>
      <w:jc w:val="both"/>
    </w:pPr>
    <w:rPr>
      <w:rFonts w:eastAsia="Times New Roman" w:cs="Times New Roman"/>
    </w:rPr>
  </w:style>
  <w:style w:type="paragraph" w:customStyle="1" w:styleId="Quote5">
    <w:name w:val="Quote .5&quot;"/>
    <w:basedOn w:val="Normal"/>
    <w:uiPriority w:val="1"/>
    <w:qFormat/>
    <w:pPr>
      <w:spacing w:before="240"/>
      <w:ind w:left="720" w:right="720"/>
      <w:jc w:val="both"/>
    </w:pPr>
  </w:style>
  <w:style w:type="paragraph" w:customStyle="1" w:styleId="Quote10">
    <w:name w:val="Quote 1&quot;"/>
    <w:basedOn w:val="Normal"/>
    <w:uiPriority w:val="1"/>
    <w:qFormat/>
    <w:pPr>
      <w:spacing w:before="240"/>
      <w:ind w:left="1440" w:right="1440"/>
      <w:jc w:val="both"/>
    </w:pPr>
  </w:style>
  <w:style w:type="paragraph" w:customStyle="1" w:styleId="Sig2Col">
    <w:name w:val="Sig2Col"/>
    <w:basedOn w:val="Normal"/>
    <w:semiHidden/>
    <w:pPr>
      <w:tabs>
        <w:tab w:val="left" w:pos="5040"/>
      </w:tabs>
      <w:spacing w:after="480"/>
    </w:pPr>
  </w:style>
  <w:style w:type="paragraph" w:customStyle="1" w:styleId="Sig2ColInd">
    <w:name w:val="Sig2ColInd"/>
    <w:basedOn w:val="Normal"/>
    <w:semiHidden/>
    <w:pPr>
      <w:tabs>
        <w:tab w:val="left" w:pos="423"/>
        <w:tab w:val="right" w:pos="4320"/>
        <w:tab w:val="left" w:pos="5040"/>
        <w:tab w:val="left" w:pos="5472"/>
        <w:tab w:val="right" w:pos="9360"/>
      </w:tabs>
      <w:spacing w:after="480"/>
      <w:ind w:left="446" w:hanging="446"/>
    </w:pPr>
  </w:style>
  <w:style w:type="paragraph" w:customStyle="1" w:styleId="SigLeft">
    <w:name w:val="SigLeft"/>
    <w:basedOn w:val="Normal"/>
    <w:link w:val="SigLeftChar"/>
    <w:semiHidden/>
    <w:pPr>
      <w:keepNext/>
      <w:spacing w:after="240"/>
    </w:pPr>
  </w:style>
  <w:style w:type="paragraph" w:customStyle="1" w:styleId="SigLeftInd">
    <w:name w:val="SigLeftInd"/>
    <w:basedOn w:val="Normal"/>
    <w:semiHidden/>
    <w:pPr>
      <w:tabs>
        <w:tab w:val="left" w:pos="432"/>
        <w:tab w:val="right" w:pos="4320"/>
      </w:tabs>
      <w:spacing w:after="240"/>
      <w:ind w:left="432" w:hanging="432"/>
      <w:jc w:val="both"/>
    </w:pPr>
  </w:style>
  <w:style w:type="paragraph" w:customStyle="1" w:styleId="SigLineRight">
    <w:name w:val="SigLineRight"/>
    <w:basedOn w:val="Normal"/>
    <w:semiHidden/>
    <w:pPr>
      <w:tabs>
        <w:tab w:val="right" w:pos="7920"/>
      </w:tabs>
      <w:spacing w:after="240"/>
      <w:ind w:left="3600"/>
    </w:pPr>
  </w:style>
  <w:style w:type="paragraph" w:customStyle="1" w:styleId="SigRight">
    <w:name w:val="SigRight"/>
    <w:basedOn w:val="Normal"/>
    <w:semiHidden/>
    <w:pPr>
      <w:keepNext/>
      <w:tabs>
        <w:tab w:val="right" w:pos="7920"/>
      </w:tabs>
      <w:spacing w:after="240"/>
      <w:ind w:left="3600"/>
      <w:jc w:val="both"/>
    </w:pPr>
  </w:style>
  <w:style w:type="paragraph" w:customStyle="1" w:styleId="SigRightInd">
    <w:name w:val="SigRightInd"/>
    <w:basedOn w:val="Normal"/>
    <w:semiHidden/>
    <w:pPr>
      <w:tabs>
        <w:tab w:val="left" w:pos="4032"/>
        <w:tab w:val="right" w:pos="8640"/>
      </w:tabs>
      <w:spacing w:after="480"/>
      <w:ind w:left="4032" w:hanging="432"/>
    </w:pPr>
  </w:style>
  <w:style w:type="paragraph" w:customStyle="1" w:styleId="SigTblRightInd">
    <w:name w:val="SigTblRightInd"/>
    <w:basedOn w:val="Normal"/>
    <w:semiHidden/>
    <w:pPr>
      <w:tabs>
        <w:tab w:val="left" w:pos="432"/>
        <w:tab w:val="right" w:pos="5643"/>
      </w:tabs>
      <w:spacing w:after="240"/>
      <w:ind w:left="432" w:hanging="432"/>
    </w:pPr>
  </w:style>
  <w:style w:type="paragraph" w:styleId="Title">
    <w:name w:val="Title"/>
    <w:basedOn w:val="Normal"/>
    <w:next w:val="BodyTextFlush"/>
    <w:link w:val="TitleChar"/>
    <w:uiPriority w:val="1"/>
    <w:qFormat/>
    <w:pPr>
      <w:spacing w:before="240"/>
      <w:jc w:val="center"/>
      <w:outlineLvl w:val="0"/>
    </w:pPr>
    <w:rPr>
      <w:rFonts w:eastAsiaTheme="majorEastAsia" w:cs="Arial"/>
      <w:b/>
      <w:bCs/>
      <w:kern w:val="28"/>
      <w:szCs w:val="32"/>
    </w:rPr>
  </w:style>
  <w:style w:type="character" w:customStyle="1" w:styleId="TitleChar">
    <w:name w:val="Title Char"/>
    <w:basedOn w:val="DefaultParagraphFont"/>
    <w:link w:val="Title"/>
    <w:uiPriority w:val="1"/>
    <w:rPr>
      <w:rFonts w:eastAsiaTheme="majorEastAsia" w:cs="Arial"/>
      <w:b/>
      <w:bCs/>
      <w:kern w:val="28"/>
      <w:szCs w:val="32"/>
    </w:rPr>
  </w:style>
  <w:style w:type="paragraph" w:styleId="TOC4">
    <w:name w:val="toc 4"/>
    <w:basedOn w:val="Normal"/>
    <w:next w:val="Normal"/>
    <w:semiHidden/>
    <w:pPr>
      <w:tabs>
        <w:tab w:val="right" w:leader="dot" w:pos="9360"/>
      </w:tabs>
      <w:spacing w:after="240"/>
      <w:ind w:left="2880" w:right="720" w:hanging="720"/>
    </w:pPr>
    <w:rPr>
      <w:noProof/>
    </w:rPr>
  </w:style>
  <w:style w:type="paragraph" w:styleId="TOC5">
    <w:name w:val="toc 5"/>
    <w:basedOn w:val="Normal"/>
    <w:next w:val="Normal"/>
    <w:semiHidden/>
    <w:pPr>
      <w:tabs>
        <w:tab w:val="right" w:leader="dot" w:pos="9360"/>
      </w:tabs>
      <w:spacing w:after="240"/>
      <w:ind w:left="3600" w:right="720" w:hanging="720"/>
    </w:pPr>
    <w:rPr>
      <w:noProof/>
    </w:rPr>
  </w:style>
  <w:style w:type="paragraph" w:styleId="TOC6">
    <w:name w:val="toc 6"/>
    <w:basedOn w:val="Normal"/>
    <w:next w:val="Normal"/>
    <w:semiHidden/>
    <w:pPr>
      <w:tabs>
        <w:tab w:val="right" w:leader="dot" w:pos="9360"/>
      </w:tabs>
      <w:ind w:left="1195"/>
    </w:pPr>
  </w:style>
  <w:style w:type="paragraph" w:styleId="TOC7">
    <w:name w:val="toc 7"/>
    <w:basedOn w:val="Normal"/>
    <w:next w:val="Normal"/>
    <w:semiHidden/>
    <w:pPr>
      <w:tabs>
        <w:tab w:val="right" w:leader="dot" w:pos="9360"/>
      </w:tabs>
      <w:ind w:left="1440"/>
    </w:pPr>
  </w:style>
  <w:style w:type="paragraph" w:styleId="TOC8">
    <w:name w:val="toc 8"/>
    <w:basedOn w:val="Normal"/>
    <w:next w:val="Normal"/>
    <w:semiHidden/>
    <w:pPr>
      <w:tabs>
        <w:tab w:val="right" w:leader="dot" w:pos="9360"/>
      </w:tabs>
      <w:ind w:left="1680"/>
    </w:pPr>
  </w:style>
  <w:style w:type="paragraph" w:styleId="TOC9">
    <w:name w:val="toc 9"/>
    <w:basedOn w:val="Normal"/>
    <w:next w:val="Normal"/>
    <w:semiHidden/>
    <w:pPr>
      <w:tabs>
        <w:tab w:val="right" w:leader="dot" w:pos="9360"/>
      </w:tabs>
      <w:ind w:left="1920"/>
    </w:pPr>
  </w:style>
  <w:style w:type="paragraph" w:styleId="Subtitle">
    <w:name w:val="Subtitle"/>
    <w:basedOn w:val="Normal"/>
    <w:next w:val="BodyTextFlush"/>
    <w:link w:val="SubtitleChar"/>
    <w:uiPriority w:val="1"/>
    <w:qFormat/>
    <w:pPr>
      <w:spacing w:before="240"/>
      <w:jc w:val="center"/>
      <w:outlineLvl w:val="1"/>
    </w:pPr>
    <w:rPr>
      <w:rFonts w:eastAsiaTheme="majorEastAsia"/>
    </w:rPr>
  </w:style>
  <w:style w:type="character" w:customStyle="1" w:styleId="SubtitleChar">
    <w:name w:val="Subtitle Char"/>
    <w:basedOn w:val="DefaultParagraphFont"/>
    <w:link w:val="Subtitle"/>
    <w:uiPriority w:val="1"/>
    <w:rPr>
      <w:rFonts w:eastAsiaTheme="majorEastAsia" w:cstheme="minorBidi"/>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paragraph" w:styleId="Footer">
    <w:name w:val="footer"/>
    <w:basedOn w:val="Normal"/>
    <w:link w:val="FooterChar"/>
    <w:uiPriority w:val="9"/>
    <w:pPr>
      <w:tabs>
        <w:tab w:val="center" w:pos="4680"/>
        <w:tab w:val="right" w:pos="9360"/>
      </w:tabs>
      <w:jc w:val="center"/>
    </w:pPr>
    <w:rPr>
      <w:sz w:val="20"/>
      <w:szCs w:val="20"/>
    </w:rPr>
  </w:style>
  <w:style w:type="character" w:customStyle="1" w:styleId="FooterChar">
    <w:name w:val="Footer Char"/>
    <w:basedOn w:val="DefaultParagraphFont"/>
    <w:link w:val="Footer"/>
    <w:uiPriority w:val="9"/>
    <w:rPr>
      <w:rFonts w:eastAsiaTheme="minorHAnsi" w:cstheme="minorBidi"/>
      <w:sz w:val="20"/>
      <w:szCs w:val="20"/>
    </w:rPr>
  </w:style>
  <w:style w:type="numbering" w:styleId="111111">
    <w:name w:val="Outline List 2"/>
    <w:basedOn w:val="NoList"/>
    <w:semiHidden/>
    <w:pPr>
      <w:numPr>
        <w:numId w:val="3"/>
      </w:numPr>
    </w:pPr>
  </w:style>
  <w:style w:type="numbering" w:styleId="1ai">
    <w:name w:val="Outline List 1"/>
    <w:basedOn w:val="NoList"/>
    <w:semiHidden/>
    <w:pPr>
      <w:numPr>
        <w:numId w:val="4"/>
      </w:numPr>
    </w:pPr>
  </w:style>
  <w:style w:type="numbering" w:styleId="ArticleSection">
    <w:name w:val="Outline List 3"/>
    <w:basedOn w:val="NoList"/>
    <w:semiHidden/>
    <w:pPr>
      <w:numPr>
        <w:numId w:val="5"/>
      </w:numPr>
    </w:pPr>
  </w:style>
  <w:style w:type="paragraph" w:styleId="Bibliography">
    <w:name w:val="Bibliography"/>
    <w:basedOn w:val="Normal"/>
    <w:next w:val="Normal"/>
    <w:uiPriority w:val="37"/>
    <w:semiHidden/>
  </w:style>
  <w:style w:type="paragraph" w:styleId="BlockText">
    <w:name w:val="Block Text"/>
    <w:basedOn w:val="Normal"/>
    <w:semiHidden/>
    <w:pPr>
      <w:pBdr>
        <w:top w:val="single" w:sz="2" w:space="10" w:color="7BC143" w:themeColor="accent1" w:frame="1"/>
        <w:left w:val="single" w:sz="2" w:space="10" w:color="7BC143" w:themeColor="accent1" w:frame="1"/>
        <w:bottom w:val="single" w:sz="2" w:space="10" w:color="7BC143" w:themeColor="accent1" w:frame="1"/>
        <w:right w:val="single" w:sz="2" w:space="10" w:color="7BC143" w:themeColor="accent1" w:frame="1"/>
      </w:pBdr>
      <w:ind w:left="1152" w:right="1152"/>
    </w:pPr>
    <w:rPr>
      <w:i/>
      <w:iCs/>
      <w:color w:val="7BC143" w:themeColor="accent1"/>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eastAsiaTheme="minorHAnsi" w:cstheme="minorBidi"/>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sz w:val="24"/>
      <w:szCs w:val="20"/>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Indent">
    <w:name w:val="Body Text Indent"/>
    <w:basedOn w:val="Normal"/>
    <w:link w:val="BodyTextIndentChar"/>
    <w:semiHidden/>
    <w:pPr>
      <w:spacing w:after="120"/>
      <w:ind w:left="360"/>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semiHidden/>
    <w:pPr>
      <w:spacing w:after="0"/>
      <w:ind w:firstLine="36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sz w:val="24"/>
      <w:szCs w:val="20"/>
    </w:rPr>
  </w:style>
  <w:style w:type="paragraph" w:styleId="BodyTextIndent2">
    <w:name w:val="Body Text Indent 2"/>
    <w:basedOn w:val="Normal"/>
    <w:link w:val="BodyTextIndent2Char"/>
    <w:semiHidden/>
    <w:pPr>
      <w:spacing w:after="120" w:line="480" w:lineRule="auto"/>
      <w:ind w:left="360"/>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sz w:val="24"/>
      <w:szCs w:val="20"/>
    </w:rPr>
  </w:style>
  <w:style w:type="paragraph" w:styleId="BodyTextIndent3">
    <w:name w:val="Body Text Indent 3"/>
    <w:basedOn w:val="Normal"/>
    <w:link w:val="BodyTextIndent3Char"/>
    <w:semiHidden/>
    <w:pPr>
      <w:spacing w:after="120"/>
      <w:ind w:left="360"/>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character" w:styleId="BookTitle">
    <w:name w:val="Book Title"/>
    <w:basedOn w:val="DefaultParagraphFont"/>
    <w:uiPriority w:val="33"/>
    <w:semiHidden/>
    <w:rPr>
      <w:rFonts w:ascii="Times New Roman" w:hAnsi="Times New Roman" w:cs="Times New Roman"/>
      <w:b/>
      <w:bCs/>
      <w:smallCaps/>
      <w:spacing w:val="5"/>
    </w:rPr>
  </w:style>
  <w:style w:type="paragraph" w:styleId="Caption">
    <w:name w:val="caption"/>
    <w:basedOn w:val="Normal"/>
    <w:next w:val="Normal"/>
    <w:semiHidden/>
    <w:pPr>
      <w:spacing w:after="200"/>
    </w:pPr>
    <w:rPr>
      <w:b/>
      <w:bCs/>
      <w:color w:val="7BC143" w:themeColor="accent1"/>
      <w:sz w:val="18"/>
      <w:szCs w:val="18"/>
    </w:rPr>
  </w:style>
  <w:style w:type="paragraph" w:styleId="Closing">
    <w:name w:val="Closing"/>
    <w:basedOn w:val="Normal"/>
    <w:link w:val="ClosingChar"/>
    <w:semiHidden/>
    <w:pPr>
      <w:ind w:left="4320"/>
    </w:pPr>
  </w:style>
  <w:style w:type="character" w:customStyle="1" w:styleId="ClosingChar">
    <w:name w:val="Closing Char"/>
    <w:basedOn w:val="DefaultParagraphFont"/>
    <w:link w:val="Closing"/>
    <w:semiHidden/>
    <w:rPr>
      <w:rFonts w:ascii="Times New Roman" w:eastAsia="Times New Roman" w:hAnsi="Times New Roman" w:cs="Times New Roman"/>
      <w:sz w:val="24"/>
      <w:szCs w:val="20"/>
    </w:rPr>
  </w:style>
  <w:style w:type="table" w:styleId="ColorfulGrid">
    <w:name w:val="Colorful Grid"/>
    <w:basedOn w:val="TableNormal"/>
    <w:uiPriority w:val="73"/>
    <w:semiHidden/>
    <w:rPr>
      <w:color w:val="000000" w:themeColor="text1"/>
    </w:rPr>
    <w:tblPr>
      <w:tblStyleRowBandSize w:val="1"/>
      <w:tblStyleColBandSize w:val="1"/>
      <w:tblBorders>
        <w:insideH w:val="single" w:sz="4" w:space="0" w:color="BDAF77"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BDAF77" w:themeColor="background1"/>
      </w:rPr>
      <w:tblPr/>
      <w:tcPr>
        <w:shd w:val="clear" w:color="auto" w:fill="000000" w:themeFill="text1" w:themeFillShade="BF"/>
      </w:tcPr>
    </w:tblStylePr>
    <w:tblStylePr w:type="lastCol">
      <w:rPr>
        <w:color w:val="BDAF77"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Pr>
      <w:color w:val="000000" w:themeColor="text1"/>
    </w:rPr>
    <w:tblPr>
      <w:tblStyleRowBandSize w:val="1"/>
      <w:tblStyleColBandSize w:val="1"/>
      <w:tblBorders>
        <w:insideH w:val="single" w:sz="4" w:space="0" w:color="BDAF77" w:themeColor="background1"/>
      </w:tblBorders>
    </w:tblPr>
    <w:tcPr>
      <w:shd w:val="clear" w:color="auto" w:fill="E4F2D9" w:themeFill="accent1" w:themeFillTint="33"/>
    </w:tcPr>
    <w:tblStylePr w:type="firstRow">
      <w:rPr>
        <w:b/>
        <w:bCs/>
      </w:rPr>
      <w:tblPr/>
      <w:tcPr>
        <w:shd w:val="clear" w:color="auto" w:fill="CAE6B3" w:themeFill="accent1" w:themeFillTint="66"/>
      </w:tcPr>
    </w:tblStylePr>
    <w:tblStylePr w:type="lastRow">
      <w:rPr>
        <w:b/>
        <w:bCs/>
        <w:color w:val="000000" w:themeColor="text1"/>
      </w:rPr>
      <w:tblPr/>
      <w:tcPr>
        <w:shd w:val="clear" w:color="auto" w:fill="CAE6B3" w:themeFill="accent1" w:themeFillTint="66"/>
      </w:tcPr>
    </w:tblStylePr>
    <w:tblStylePr w:type="firstCol">
      <w:rPr>
        <w:color w:val="BDAF77" w:themeColor="background1"/>
      </w:rPr>
      <w:tblPr/>
      <w:tcPr>
        <w:shd w:val="clear" w:color="auto" w:fill="5B9230" w:themeFill="accent1" w:themeFillShade="BF"/>
      </w:tcPr>
    </w:tblStylePr>
    <w:tblStylePr w:type="lastCol">
      <w:rPr>
        <w:color w:val="BDAF77" w:themeColor="background1"/>
      </w:rPr>
      <w:tblPr/>
      <w:tcPr>
        <w:shd w:val="clear" w:color="auto" w:fill="5B9230" w:themeFill="accent1" w:themeFillShade="BF"/>
      </w:tcPr>
    </w:tblStylePr>
    <w:tblStylePr w:type="band1Vert">
      <w:tblPr/>
      <w:tcPr>
        <w:shd w:val="clear" w:color="auto" w:fill="BDE0A1" w:themeFill="accent1" w:themeFillTint="7F"/>
      </w:tcPr>
    </w:tblStylePr>
    <w:tblStylePr w:type="band1Horz">
      <w:tblPr/>
      <w:tcPr>
        <w:shd w:val="clear" w:color="auto" w:fill="BDE0A1" w:themeFill="accent1" w:themeFillTint="7F"/>
      </w:tcPr>
    </w:tblStylePr>
  </w:style>
  <w:style w:type="table" w:styleId="ColorfulGrid-Accent2">
    <w:name w:val="Colorful Grid Accent 2"/>
    <w:basedOn w:val="TableNormal"/>
    <w:uiPriority w:val="73"/>
    <w:semiHidden/>
    <w:rPr>
      <w:color w:val="000000" w:themeColor="text1"/>
    </w:rPr>
    <w:tblPr>
      <w:tblStyleRowBandSize w:val="1"/>
      <w:tblStyleColBandSize w:val="1"/>
      <w:tblBorders>
        <w:insideH w:val="single" w:sz="4" w:space="0" w:color="BDAF77" w:themeColor="background1"/>
      </w:tblBorders>
    </w:tblPr>
    <w:tcPr>
      <w:shd w:val="clear" w:color="auto" w:fill="D9ECE6" w:themeFill="accent2" w:themeFillTint="33"/>
    </w:tcPr>
    <w:tblStylePr w:type="firstRow">
      <w:rPr>
        <w:b/>
        <w:bCs/>
      </w:rPr>
      <w:tblPr/>
      <w:tcPr>
        <w:shd w:val="clear" w:color="auto" w:fill="B3D9CD" w:themeFill="accent2" w:themeFillTint="66"/>
      </w:tcPr>
    </w:tblStylePr>
    <w:tblStylePr w:type="lastRow">
      <w:rPr>
        <w:b/>
        <w:bCs/>
        <w:color w:val="000000" w:themeColor="text1"/>
      </w:rPr>
      <w:tblPr/>
      <w:tcPr>
        <w:shd w:val="clear" w:color="auto" w:fill="B3D9CD" w:themeFill="accent2" w:themeFillTint="66"/>
      </w:tcPr>
    </w:tblStylePr>
    <w:tblStylePr w:type="firstCol">
      <w:rPr>
        <w:color w:val="BDAF77" w:themeColor="background1"/>
      </w:rPr>
      <w:tblPr/>
      <w:tcPr>
        <w:shd w:val="clear" w:color="auto" w:fill="39715F" w:themeFill="accent2" w:themeFillShade="BF"/>
      </w:tcPr>
    </w:tblStylePr>
    <w:tblStylePr w:type="lastCol">
      <w:rPr>
        <w:color w:val="BDAF77" w:themeColor="background1"/>
      </w:rPr>
      <w:tblPr/>
      <w:tcPr>
        <w:shd w:val="clear" w:color="auto" w:fill="39715F" w:themeFill="accent2" w:themeFillShade="BF"/>
      </w:tcPr>
    </w:tblStylePr>
    <w:tblStylePr w:type="band1Vert">
      <w:tblPr/>
      <w:tcPr>
        <w:shd w:val="clear" w:color="auto" w:fill="A1D0C1" w:themeFill="accent2" w:themeFillTint="7F"/>
      </w:tcPr>
    </w:tblStylePr>
    <w:tblStylePr w:type="band1Horz">
      <w:tblPr/>
      <w:tcPr>
        <w:shd w:val="clear" w:color="auto" w:fill="A1D0C1" w:themeFill="accent2" w:themeFillTint="7F"/>
      </w:tcPr>
    </w:tblStylePr>
  </w:style>
  <w:style w:type="table" w:styleId="ColorfulGrid-Accent3">
    <w:name w:val="Colorful Grid Accent 3"/>
    <w:basedOn w:val="TableNormal"/>
    <w:uiPriority w:val="73"/>
    <w:semiHidden/>
    <w:rPr>
      <w:color w:val="000000" w:themeColor="text1"/>
    </w:rPr>
    <w:tblPr>
      <w:tblStyleRowBandSize w:val="1"/>
      <w:tblStyleColBandSize w:val="1"/>
      <w:tblBorders>
        <w:insideH w:val="single" w:sz="4" w:space="0" w:color="BDAF77" w:themeColor="background1"/>
      </w:tblBorders>
    </w:tblPr>
    <w:tcPr>
      <w:shd w:val="clear" w:color="auto" w:fill="F7F6F1" w:themeFill="accent3" w:themeFillTint="33"/>
    </w:tcPr>
    <w:tblStylePr w:type="firstRow">
      <w:rPr>
        <w:b/>
        <w:bCs/>
      </w:rPr>
      <w:tblPr/>
      <w:tcPr>
        <w:shd w:val="clear" w:color="auto" w:fill="F0EDE4" w:themeFill="accent3" w:themeFillTint="66"/>
      </w:tcPr>
    </w:tblStylePr>
    <w:tblStylePr w:type="lastRow">
      <w:rPr>
        <w:b/>
        <w:bCs/>
        <w:color w:val="000000" w:themeColor="text1"/>
      </w:rPr>
      <w:tblPr/>
      <w:tcPr>
        <w:shd w:val="clear" w:color="auto" w:fill="F0EDE4" w:themeFill="accent3" w:themeFillTint="66"/>
      </w:tcPr>
    </w:tblStylePr>
    <w:tblStylePr w:type="firstCol">
      <w:rPr>
        <w:color w:val="BDAF77" w:themeColor="background1"/>
      </w:rPr>
      <w:tblPr/>
      <w:tcPr>
        <w:shd w:val="clear" w:color="auto" w:fill="B6A87A" w:themeFill="accent3" w:themeFillShade="BF"/>
      </w:tcPr>
    </w:tblStylePr>
    <w:tblStylePr w:type="lastCol">
      <w:rPr>
        <w:color w:val="BDAF77" w:themeColor="background1"/>
      </w:rPr>
      <w:tblPr/>
      <w:tcPr>
        <w:shd w:val="clear" w:color="auto" w:fill="B6A87A" w:themeFill="accent3" w:themeFillShade="BF"/>
      </w:tcPr>
    </w:tblStylePr>
    <w:tblStylePr w:type="band1Vert">
      <w:tblPr/>
      <w:tcPr>
        <w:shd w:val="clear" w:color="auto" w:fill="EDE9DE" w:themeFill="accent3" w:themeFillTint="7F"/>
      </w:tcPr>
    </w:tblStylePr>
    <w:tblStylePr w:type="band1Horz">
      <w:tblPr/>
      <w:tcPr>
        <w:shd w:val="clear" w:color="auto" w:fill="EDE9DE" w:themeFill="accent3" w:themeFillTint="7F"/>
      </w:tcPr>
    </w:tblStylePr>
  </w:style>
  <w:style w:type="table" w:styleId="ColorfulGrid-Accent4">
    <w:name w:val="Colorful Grid Accent 4"/>
    <w:basedOn w:val="TableNormal"/>
    <w:uiPriority w:val="73"/>
    <w:semiHidden/>
    <w:rPr>
      <w:color w:val="000000" w:themeColor="text1"/>
    </w:rPr>
    <w:tblPr>
      <w:tblStyleRowBandSize w:val="1"/>
      <w:tblStyleColBandSize w:val="1"/>
      <w:tblBorders>
        <w:insideH w:val="single" w:sz="4" w:space="0" w:color="BDAF77" w:themeColor="background1"/>
      </w:tblBorders>
    </w:tblPr>
    <w:tcPr>
      <w:shd w:val="clear" w:color="auto" w:fill="CCCCCC" w:themeFill="accent4" w:themeFillTint="33"/>
    </w:tcPr>
    <w:tblStylePr w:type="firstRow">
      <w:rPr>
        <w:b/>
        <w:bCs/>
      </w:rPr>
      <w:tblPr/>
      <w:tcPr>
        <w:shd w:val="clear" w:color="auto" w:fill="999999" w:themeFill="accent4" w:themeFillTint="66"/>
      </w:tcPr>
    </w:tblStylePr>
    <w:tblStylePr w:type="lastRow">
      <w:rPr>
        <w:b/>
        <w:bCs/>
        <w:color w:val="000000" w:themeColor="text1"/>
      </w:rPr>
      <w:tblPr/>
      <w:tcPr>
        <w:shd w:val="clear" w:color="auto" w:fill="999999" w:themeFill="accent4" w:themeFillTint="66"/>
      </w:tcPr>
    </w:tblStylePr>
    <w:tblStylePr w:type="firstCol">
      <w:rPr>
        <w:color w:val="BDAF77" w:themeColor="background1"/>
      </w:rPr>
      <w:tblPr/>
      <w:tcPr>
        <w:shd w:val="clear" w:color="auto" w:fill="000000" w:themeFill="accent4" w:themeFillShade="BF"/>
      </w:tcPr>
    </w:tblStylePr>
    <w:tblStylePr w:type="lastCol">
      <w:rPr>
        <w:color w:val="BDAF77" w:themeColor="background1"/>
      </w:rPr>
      <w:tblPr/>
      <w:tcPr>
        <w:shd w:val="clear" w:color="auto" w:fill="000000" w:themeFill="accent4" w:themeFillShade="BF"/>
      </w:tcPr>
    </w:tblStylePr>
    <w:tblStylePr w:type="band1Vert">
      <w:tblPr/>
      <w:tcPr>
        <w:shd w:val="clear" w:color="auto" w:fill="808080" w:themeFill="accent4" w:themeFillTint="7F"/>
      </w:tcPr>
    </w:tblStylePr>
    <w:tblStylePr w:type="band1Horz">
      <w:tblPr/>
      <w:tcPr>
        <w:shd w:val="clear" w:color="auto" w:fill="808080" w:themeFill="accent4" w:themeFillTint="7F"/>
      </w:tcPr>
    </w:tblStylePr>
  </w:style>
  <w:style w:type="table" w:styleId="ColorfulGrid-Accent5">
    <w:name w:val="Colorful Grid Accent 5"/>
    <w:basedOn w:val="TableNormal"/>
    <w:uiPriority w:val="73"/>
    <w:semiHidden/>
    <w:rPr>
      <w:color w:val="000000" w:themeColor="text1"/>
    </w:rPr>
    <w:tblPr>
      <w:tblStyleRowBandSize w:val="1"/>
      <w:tblStyleColBandSize w:val="1"/>
      <w:tblBorders>
        <w:insideH w:val="single" w:sz="4" w:space="0" w:color="BDAF77" w:themeColor="background1"/>
      </w:tblBorders>
    </w:tblPr>
    <w:tcPr>
      <w:shd w:val="clear" w:color="auto" w:fill="F2F8EF" w:themeFill="accent5" w:themeFillTint="33"/>
    </w:tcPr>
    <w:tblStylePr w:type="firstRow">
      <w:rPr>
        <w:b/>
        <w:bCs/>
      </w:rPr>
      <w:tblPr/>
      <w:tcPr>
        <w:shd w:val="clear" w:color="auto" w:fill="E5F1DF" w:themeFill="accent5" w:themeFillTint="66"/>
      </w:tcPr>
    </w:tblStylePr>
    <w:tblStylePr w:type="lastRow">
      <w:rPr>
        <w:b/>
        <w:bCs/>
        <w:color w:val="000000" w:themeColor="text1"/>
      </w:rPr>
      <w:tblPr/>
      <w:tcPr>
        <w:shd w:val="clear" w:color="auto" w:fill="E5F1DF" w:themeFill="accent5" w:themeFillTint="66"/>
      </w:tcPr>
    </w:tblStylePr>
    <w:tblStylePr w:type="firstCol">
      <w:rPr>
        <w:color w:val="BDAF77" w:themeColor="background1"/>
      </w:rPr>
      <w:tblPr/>
      <w:tcPr>
        <w:shd w:val="clear" w:color="auto" w:fill="86BF6A" w:themeFill="accent5" w:themeFillShade="BF"/>
      </w:tcPr>
    </w:tblStylePr>
    <w:tblStylePr w:type="lastCol">
      <w:rPr>
        <w:color w:val="BDAF77" w:themeColor="background1"/>
      </w:rPr>
      <w:tblPr/>
      <w:tcPr>
        <w:shd w:val="clear" w:color="auto" w:fill="86BF6A" w:themeFill="accent5" w:themeFillShade="BF"/>
      </w:tcPr>
    </w:tblStylePr>
    <w:tblStylePr w:type="band1Vert">
      <w:tblPr/>
      <w:tcPr>
        <w:shd w:val="clear" w:color="auto" w:fill="DFEED7" w:themeFill="accent5" w:themeFillTint="7F"/>
      </w:tcPr>
    </w:tblStylePr>
    <w:tblStylePr w:type="band1Horz">
      <w:tblPr/>
      <w:tcPr>
        <w:shd w:val="clear" w:color="auto" w:fill="DFEED7" w:themeFill="accent5" w:themeFillTint="7F"/>
      </w:tcPr>
    </w:tblStylePr>
  </w:style>
  <w:style w:type="table" w:styleId="ColorfulGrid-Accent6">
    <w:name w:val="Colorful Grid Accent 6"/>
    <w:basedOn w:val="TableNormal"/>
    <w:uiPriority w:val="73"/>
    <w:semiHidden/>
    <w:rPr>
      <w:color w:val="000000" w:themeColor="text1"/>
    </w:rPr>
    <w:tblPr>
      <w:tblStyleRowBandSize w:val="1"/>
      <w:tblStyleColBandSize w:val="1"/>
      <w:tblBorders>
        <w:insideH w:val="single" w:sz="4" w:space="0" w:color="BDAF77" w:themeColor="background1"/>
      </w:tblBorders>
    </w:tblPr>
    <w:tcPr>
      <w:shd w:val="clear" w:color="auto" w:fill="D6EAE4" w:themeFill="accent6" w:themeFillTint="33"/>
    </w:tcPr>
    <w:tblStylePr w:type="firstRow">
      <w:rPr>
        <w:b/>
        <w:bCs/>
      </w:rPr>
      <w:tblPr/>
      <w:tcPr>
        <w:shd w:val="clear" w:color="auto" w:fill="ADD6C9" w:themeFill="accent6" w:themeFillTint="66"/>
      </w:tcPr>
    </w:tblStylePr>
    <w:tblStylePr w:type="lastRow">
      <w:rPr>
        <w:b/>
        <w:bCs/>
        <w:color w:val="000000" w:themeColor="text1"/>
      </w:rPr>
      <w:tblPr/>
      <w:tcPr>
        <w:shd w:val="clear" w:color="auto" w:fill="ADD6C9" w:themeFill="accent6" w:themeFillTint="66"/>
      </w:tcPr>
    </w:tblStylePr>
    <w:tblStylePr w:type="firstCol">
      <w:rPr>
        <w:color w:val="BDAF77" w:themeColor="background1"/>
      </w:rPr>
      <w:tblPr/>
      <w:tcPr>
        <w:shd w:val="clear" w:color="auto" w:fill="336655" w:themeFill="accent6" w:themeFillShade="BF"/>
      </w:tcPr>
    </w:tblStylePr>
    <w:tblStylePr w:type="lastCol">
      <w:rPr>
        <w:color w:val="BDAF77" w:themeColor="background1"/>
      </w:rPr>
      <w:tblPr/>
      <w:tcPr>
        <w:shd w:val="clear" w:color="auto" w:fill="336655" w:themeFill="accent6" w:themeFillShade="BF"/>
      </w:tcPr>
    </w:tblStylePr>
    <w:tblStylePr w:type="band1Vert">
      <w:tblPr/>
      <w:tcPr>
        <w:shd w:val="clear" w:color="auto" w:fill="99CCBC" w:themeFill="accent6" w:themeFillTint="7F"/>
      </w:tcPr>
    </w:tblStylePr>
    <w:tblStylePr w:type="band1Horz">
      <w:tblPr/>
      <w:tcPr>
        <w:shd w:val="clear" w:color="auto" w:fill="99CCBC" w:themeFill="accent6" w:themeFillTint="7F"/>
      </w:tcPr>
    </w:tblStylePr>
  </w:style>
  <w:style w:type="table" w:styleId="ColorfulList">
    <w:name w:val="Colorful List"/>
    <w:basedOn w:val="TableNormal"/>
    <w:uiPriority w:val="72"/>
    <w:semiHidden/>
    <w:rPr>
      <w:color w:val="000000" w:themeColor="text1"/>
    </w:rPr>
    <w:tblPr>
      <w:tblStyleRowBandSize w:val="1"/>
      <w:tblStyleColBandSize w:val="1"/>
    </w:tblPr>
    <w:tcPr>
      <w:shd w:val="clear" w:color="auto" w:fill="E6E6E6" w:themeFill="text1" w:themeFillTint="19"/>
    </w:tcPr>
    <w:tblStylePr w:type="firstRow">
      <w:rPr>
        <w:b/>
        <w:bCs/>
        <w:color w:val="BDAF77" w:themeColor="background1"/>
      </w:rPr>
      <w:tblPr/>
      <w:tcPr>
        <w:tcBorders>
          <w:bottom w:val="single" w:sz="12" w:space="0" w:color="BDAF77" w:themeColor="background1"/>
        </w:tcBorders>
        <w:shd w:val="clear" w:color="auto" w:fill="3C7966" w:themeFill="accent2" w:themeFillShade="CC"/>
      </w:tcPr>
    </w:tblStylePr>
    <w:tblStylePr w:type="lastRow">
      <w:rPr>
        <w:b/>
        <w:bCs/>
        <w:color w:val="3C7966" w:themeColor="accent2" w:themeShade="CC"/>
      </w:rPr>
      <w:tblPr/>
      <w:tcPr>
        <w:tcBorders>
          <w:top w:val="single" w:sz="12" w:space="0" w:color="000000" w:themeColor="text1"/>
        </w:tcBorders>
        <w:shd w:val="clear" w:color="auto" w:fill="BDAF7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Pr>
      <w:color w:val="000000" w:themeColor="text1"/>
    </w:rPr>
    <w:tblPr>
      <w:tblStyleRowBandSize w:val="1"/>
      <w:tblStyleColBandSize w:val="1"/>
    </w:tblPr>
    <w:tcPr>
      <w:shd w:val="clear" w:color="auto" w:fill="F1F9EC" w:themeFill="accent1" w:themeFillTint="19"/>
    </w:tcPr>
    <w:tblStylePr w:type="firstRow">
      <w:rPr>
        <w:b/>
        <w:bCs/>
        <w:color w:val="BDAF77" w:themeColor="background1"/>
      </w:rPr>
      <w:tblPr/>
      <w:tcPr>
        <w:tcBorders>
          <w:bottom w:val="single" w:sz="12" w:space="0" w:color="BDAF77" w:themeColor="background1"/>
        </w:tcBorders>
        <w:shd w:val="clear" w:color="auto" w:fill="3C7966" w:themeFill="accent2" w:themeFillShade="CC"/>
      </w:tcPr>
    </w:tblStylePr>
    <w:tblStylePr w:type="lastRow">
      <w:rPr>
        <w:b/>
        <w:bCs/>
        <w:color w:val="3C7966" w:themeColor="accent2" w:themeShade="CC"/>
      </w:rPr>
      <w:tblPr/>
      <w:tcPr>
        <w:tcBorders>
          <w:top w:val="single" w:sz="12" w:space="0" w:color="000000" w:themeColor="text1"/>
        </w:tcBorders>
        <w:shd w:val="clear" w:color="auto" w:fill="BDAF7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EFD0" w:themeFill="accent1" w:themeFillTint="3F"/>
      </w:tcPr>
    </w:tblStylePr>
    <w:tblStylePr w:type="band1Horz">
      <w:tblPr/>
      <w:tcPr>
        <w:shd w:val="clear" w:color="auto" w:fill="E4F2D9" w:themeFill="accent1" w:themeFillTint="33"/>
      </w:tcPr>
    </w:tblStylePr>
  </w:style>
  <w:style w:type="table" w:styleId="ColorfulList-Accent2">
    <w:name w:val="Colorful List Accent 2"/>
    <w:basedOn w:val="TableNormal"/>
    <w:uiPriority w:val="72"/>
    <w:semiHidden/>
    <w:rPr>
      <w:color w:val="000000" w:themeColor="text1"/>
    </w:rPr>
    <w:tblPr>
      <w:tblStyleRowBandSize w:val="1"/>
      <w:tblStyleColBandSize w:val="1"/>
    </w:tblPr>
    <w:tcPr>
      <w:shd w:val="clear" w:color="auto" w:fill="ECF5F2" w:themeFill="accent2" w:themeFillTint="19"/>
    </w:tcPr>
    <w:tblStylePr w:type="firstRow">
      <w:rPr>
        <w:b/>
        <w:bCs/>
        <w:color w:val="BDAF77" w:themeColor="background1"/>
      </w:rPr>
      <w:tblPr/>
      <w:tcPr>
        <w:tcBorders>
          <w:bottom w:val="single" w:sz="12" w:space="0" w:color="BDAF77" w:themeColor="background1"/>
        </w:tcBorders>
        <w:shd w:val="clear" w:color="auto" w:fill="3C7966" w:themeFill="accent2" w:themeFillShade="CC"/>
      </w:tcPr>
    </w:tblStylePr>
    <w:tblStylePr w:type="lastRow">
      <w:rPr>
        <w:b/>
        <w:bCs/>
        <w:color w:val="3C7966" w:themeColor="accent2" w:themeShade="CC"/>
      </w:rPr>
      <w:tblPr/>
      <w:tcPr>
        <w:tcBorders>
          <w:top w:val="single" w:sz="12" w:space="0" w:color="000000" w:themeColor="text1"/>
        </w:tcBorders>
        <w:shd w:val="clear" w:color="auto" w:fill="BDAF7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7E0" w:themeFill="accent2" w:themeFillTint="3F"/>
      </w:tcPr>
    </w:tblStylePr>
    <w:tblStylePr w:type="band1Horz">
      <w:tblPr/>
      <w:tcPr>
        <w:shd w:val="clear" w:color="auto" w:fill="D9ECE6" w:themeFill="accent2" w:themeFillTint="33"/>
      </w:tcPr>
    </w:tblStylePr>
  </w:style>
  <w:style w:type="table" w:styleId="ColorfulList-Accent3">
    <w:name w:val="Colorful List Accent 3"/>
    <w:basedOn w:val="TableNormal"/>
    <w:uiPriority w:val="72"/>
    <w:semiHidden/>
    <w:rPr>
      <w:color w:val="000000" w:themeColor="text1"/>
    </w:rPr>
    <w:tblPr>
      <w:tblStyleRowBandSize w:val="1"/>
      <w:tblStyleColBandSize w:val="1"/>
    </w:tblPr>
    <w:tcPr>
      <w:shd w:val="clear" w:color="auto" w:fill="FBFAF8" w:themeFill="accent3" w:themeFillTint="19"/>
    </w:tcPr>
    <w:tblStylePr w:type="firstRow">
      <w:rPr>
        <w:b/>
        <w:bCs/>
        <w:color w:val="BDAF77" w:themeColor="background1"/>
      </w:rPr>
      <w:tblPr/>
      <w:tcPr>
        <w:tcBorders>
          <w:bottom w:val="single" w:sz="12" w:space="0" w:color="BDAF77" w:themeColor="background1"/>
        </w:tcBorders>
        <w:shd w:val="clear" w:color="auto" w:fill="000000" w:themeFill="accent4" w:themeFillShade="CC"/>
      </w:tcPr>
    </w:tblStylePr>
    <w:tblStylePr w:type="lastRow">
      <w:rPr>
        <w:b/>
        <w:bCs/>
        <w:color w:val="000000" w:themeColor="accent4" w:themeShade="CC"/>
      </w:rPr>
      <w:tblPr/>
      <w:tcPr>
        <w:tcBorders>
          <w:top w:val="single" w:sz="12" w:space="0" w:color="000000" w:themeColor="text1"/>
        </w:tcBorders>
        <w:shd w:val="clear" w:color="auto" w:fill="BDAF7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4EE" w:themeFill="accent3" w:themeFillTint="3F"/>
      </w:tcPr>
    </w:tblStylePr>
    <w:tblStylePr w:type="band1Horz">
      <w:tblPr/>
      <w:tcPr>
        <w:shd w:val="clear" w:color="auto" w:fill="F7F6F1" w:themeFill="accent3" w:themeFillTint="33"/>
      </w:tcPr>
    </w:tblStylePr>
  </w:style>
  <w:style w:type="table" w:styleId="ColorfulList-Accent4">
    <w:name w:val="Colorful List Accent 4"/>
    <w:basedOn w:val="TableNormal"/>
    <w:uiPriority w:val="72"/>
    <w:semiHidden/>
    <w:rPr>
      <w:color w:val="000000" w:themeColor="text1"/>
    </w:rPr>
    <w:tblPr>
      <w:tblStyleRowBandSize w:val="1"/>
      <w:tblStyleColBandSize w:val="1"/>
    </w:tblPr>
    <w:tcPr>
      <w:shd w:val="clear" w:color="auto" w:fill="E6E6E6" w:themeFill="accent4" w:themeFillTint="19"/>
    </w:tcPr>
    <w:tblStylePr w:type="firstRow">
      <w:rPr>
        <w:b/>
        <w:bCs/>
        <w:color w:val="BDAF77" w:themeColor="background1"/>
      </w:rPr>
      <w:tblPr/>
      <w:tcPr>
        <w:tcBorders>
          <w:bottom w:val="single" w:sz="12" w:space="0" w:color="BDAF77" w:themeColor="background1"/>
        </w:tcBorders>
        <w:shd w:val="clear" w:color="auto" w:fill="BEB188" w:themeFill="accent3" w:themeFillShade="CC"/>
      </w:tcPr>
    </w:tblStylePr>
    <w:tblStylePr w:type="lastRow">
      <w:rPr>
        <w:b/>
        <w:bCs/>
        <w:color w:val="BEB188" w:themeColor="accent3" w:themeShade="CC"/>
      </w:rPr>
      <w:tblPr/>
      <w:tcPr>
        <w:tcBorders>
          <w:top w:val="single" w:sz="12" w:space="0" w:color="000000" w:themeColor="text1"/>
        </w:tcBorders>
        <w:shd w:val="clear" w:color="auto" w:fill="BDAF7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4" w:themeFillTint="3F"/>
      </w:tcPr>
    </w:tblStylePr>
    <w:tblStylePr w:type="band1Horz">
      <w:tblPr/>
      <w:tcPr>
        <w:shd w:val="clear" w:color="auto" w:fill="CCCCCC" w:themeFill="accent4" w:themeFillTint="33"/>
      </w:tcPr>
    </w:tblStylePr>
  </w:style>
  <w:style w:type="table" w:styleId="ColorfulList-Accent5">
    <w:name w:val="Colorful List Accent 5"/>
    <w:basedOn w:val="TableNormal"/>
    <w:uiPriority w:val="72"/>
    <w:semiHidden/>
    <w:rPr>
      <w:color w:val="000000" w:themeColor="text1"/>
    </w:rPr>
    <w:tblPr>
      <w:tblStyleRowBandSize w:val="1"/>
      <w:tblStyleColBandSize w:val="1"/>
    </w:tblPr>
    <w:tcPr>
      <w:shd w:val="clear" w:color="auto" w:fill="F8FBF7" w:themeFill="accent5" w:themeFillTint="19"/>
    </w:tcPr>
    <w:tblStylePr w:type="firstRow">
      <w:rPr>
        <w:b/>
        <w:bCs/>
        <w:color w:val="BDAF77" w:themeColor="background1"/>
      </w:rPr>
      <w:tblPr/>
      <w:tcPr>
        <w:tcBorders>
          <w:bottom w:val="single" w:sz="12" w:space="0" w:color="BDAF77" w:themeColor="background1"/>
        </w:tcBorders>
        <w:shd w:val="clear" w:color="auto" w:fill="366D5B" w:themeFill="accent6" w:themeFillShade="CC"/>
      </w:tcPr>
    </w:tblStylePr>
    <w:tblStylePr w:type="lastRow">
      <w:rPr>
        <w:b/>
        <w:bCs/>
        <w:color w:val="366D5B" w:themeColor="accent6" w:themeShade="CC"/>
      </w:rPr>
      <w:tblPr/>
      <w:tcPr>
        <w:tcBorders>
          <w:top w:val="single" w:sz="12" w:space="0" w:color="000000" w:themeColor="text1"/>
        </w:tcBorders>
        <w:shd w:val="clear" w:color="auto" w:fill="BDAF7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6EB" w:themeFill="accent5" w:themeFillTint="3F"/>
      </w:tcPr>
    </w:tblStylePr>
    <w:tblStylePr w:type="band1Horz">
      <w:tblPr/>
      <w:tcPr>
        <w:shd w:val="clear" w:color="auto" w:fill="F2F8EF" w:themeFill="accent5" w:themeFillTint="33"/>
      </w:tcPr>
    </w:tblStylePr>
  </w:style>
  <w:style w:type="table" w:styleId="ColorfulList-Accent6">
    <w:name w:val="Colorful List Accent 6"/>
    <w:basedOn w:val="TableNormal"/>
    <w:uiPriority w:val="72"/>
    <w:semiHidden/>
    <w:rPr>
      <w:color w:val="000000" w:themeColor="text1"/>
    </w:rPr>
    <w:tblPr>
      <w:tblStyleRowBandSize w:val="1"/>
      <w:tblStyleColBandSize w:val="1"/>
    </w:tblPr>
    <w:tcPr>
      <w:shd w:val="clear" w:color="auto" w:fill="EAF5F1" w:themeFill="accent6" w:themeFillTint="19"/>
    </w:tcPr>
    <w:tblStylePr w:type="firstRow">
      <w:rPr>
        <w:b/>
        <w:bCs/>
        <w:color w:val="BDAF77" w:themeColor="background1"/>
      </w:rPr>
      <w:tblPr/>
      <w:tcPr>
        <w:tcBorders>
          <w:bottom w:val="single" w:sz="12" w:space="0" w:color="BDAF77" w:themeColor="background1"/>
        </w:tcBorders>
        <w:shd w:val="clear" w:color="auto" w:fill="91C578" w:themeFill="accent5" w:themeFillShade="CC"/>
      </w:tcPr>
    </w:tblStylePr>
    <w:tblStylePr w:type="lastRow">
      <w:rPr>
        <w:b/>
        <w:bCs/>
        <w:color w:val="91C578" w:themeColor="accent5" w:themeShade="CC"/>
      </w:rPr>
      <w:tblPr/>
      <w:tcPr>
        <w:tcBorders>
          <w:top w:val="single" w:sz="12" w:space="0" w:color="000000" w:themeColor="text1"/>
        </w:tcBorders>
        <w:shd w:val="clear" w:color="auto" w:fill="BDAF7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DD" w:themeFill="accent6" w:themeFillTint="3F"/>
      </w:tcPr>
    </w:tblStylePr>
    <w:tblStylePr w:type="band1Horz">
      <w:tblPr/>
      <w:tcPr>
        <w:shd w:val="clear" w:color="auto" w:fill="D6EAE4" w:themeFill="accent6" w:themeFillTint="33"/>
      </w:tcPr>
    </w:tblStylePr>
  </w:style>
  <w:style w:type="table" w:styleId="ColorfulShading">
    <w:name w:val="Colorful Shading"/>
    <w:basedOn w:val="TableNormal"/>
    <w:uiPriority w:val="71"/>
    <w:semiHidden/>
    <w:rPr>
      <w:color w:val="000000" w:themeColor="text1"/>
    </w:rPr>
    <w:tblPr>
      <w:tblStyleRowBandSize w:val="1"/>
      <w:tblStyleColBandSize w:val="1"/>
      <w:tblBorders>
        <w:top w:val="single" w:sz="24" w:space="0" w:color="4C9880" w:themeColor="accent2"/>
        <w:left w:val="single" w:sz="4" w:space="0" w:color="000000" w:themeColor="text1"/>
        <w:bottom w:val="single" w:sz="4" w:space="0" w:color="000000" w:themeColor="text1"/>
        <w:right w:val="single" w:sz="4" w:space="0" w:color="000000" w:themeColor="text1"/>
        <w:insideH w:val="single" w:sz="4" w:space="0" w:color="BDAF77" w:themeColor="background1"/>
        <w:insideV w:val="single" w:sz="4" w:space="0" w:color="BDAF77" w:themeColor="background1"/>
      </w:tblBorders>
    </w:tblPr>
    <w:tcPr>
      <w:shd w:val="clear" w:color="auto" w:fill="E6E6E6" w:themeFill="text1" w:themeFillTint="19"/>
    </w:tcPr>
    <w:tblStylePr w:type="firstRow">
      <w:rPr>
        <w:b/>
        <w:bCs/>
      </w:rPr>
      <w:tblPr/>
      <w:tcPr>
        <w:tcBorders>
          <w:top w:val="nil"/>
          <w:left w:val="nil"/>
          <w:bottom w:val="single" w:sz="24" w:space="0" w:color="4C9880" w:themeColor="accent2"/>
          <w:right w:val="nil"/>
          <w:insideH w:val="nil"/>
          <w:insideV w:val="nil"/>
        </w:tcBorders>
        <w:shd w:val="clear" w:color="auto" w:fill="BDAF77" w:themeFill="background1"/>
      </w:tcPr>
    </w:tblStylePr>
    <w:tblStylePr w:type="lastRow">
      <w:rPr>
        <w:b/>
        <w:bCs/>
        <w:color w:val="BDAF77" w:themeColor="background1"/>
      </w:rPr>
      <w:tblPr/>
      <w:tcPr>
        <w:tcBorders>
          <w:top w:val="single" w:sz="6" w:space="0" w:color="BDAF77" w:themeColor="background1"/>
        </w:tcBorders>
        <w:shd w:val="clear" w:color="auto" w:fill="000000" w:themeFill="text1" w:themeFillShade="99"/>
      </w:tcPr>
    </w:tblStylePr>
    <w:tblStylePr w:type="firstCol">
      <w:rPr>
        <w:color w:val="BDAF77"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BDAF77"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Pr>
      <w:color w:val="000000" w:themeColor="text1"/>
    </w:rPr>
    <w:tblPr>
      <w:tblStyleRowBandSize w:val="1"/>
      <w:tblStyleColBandSize w:val="1"/>
      <w:tblBorders>
        <w:top w:val="single" w:sz="24" w:space="0" w:color="4C9880" w:themeColor="accent2"/>
        <w:left w:val="single" w:sz="4" w:space="0" w:color="7BC143" w:themeColor="accent1"/>
        <w:bottom w:val="single" w:sz="4" w:space="0" w:color="7BC143" w:themeColor="accent1"/>
        <w:right w:val="single" w:sz="4" w:space="0" w:color="7BC143" w:themeColor="accent1"/>
        <w:insideH w:val="single" w:sz="4" w:space="0" w:color="BDAF77" w:themeColor="background1"/>
        <w:insideV w:val="single" w:sz="4" w:space="0" w:color="BDAF77" w:themeColor="background1"/>
      </w:tblBorders>
    </w:tblPr>
    <w:tcPr>
      <w:shd w:val="clear" w:color="auto" w:fill="F1F9EC" w:themeFill="accent1" w:themeFillTint="19"/>
    </w:tcPr>
    <w:tblStylePr w:type="firstRow">
      <w:rPr>
        <w:b/>
        <w:bCs/>
      </w:rPr>
      <w:tblPr/>
      <w:tcPr>
        <w:tcBorders>
          <w:top w:val="nil"/>
          <w:left w:val="nil"/>
          <w:bottom w:val="single" w:sz="24" w:space="0" w:color="4C9880" w:themeColor="accent2"/>
          <w:right w:val="nil"/>
          <w:insideH w:val="nil"/>
          <w:insideV w:val="nil"/>
        </w:tcBorders>
        <w:shd w:val="clear" w:color="auto" w:fill="BDAF77" w:themeFill="background1"/>
      </w:tcPr>
    </w:tblStylePr>
    <w:tblStylePr w:type="lastRow">
      <w:rPr>
        <w:b/>
        <w:bCs/>
        <w:color w:val="BDAF77" w:themeColor="background1"/>
      </w:rPr>
      <w:tblPr/>
      <w:tcPr>
        <w:tcBorders>
          <w:top w:val="single" w:sz="6" w:space="0" w:color="BDAF77" w:themeColor="background1"/>
        </w:tcBorders>
        <w:shd w:val="clear" w:color="auto" w:fill="497526" w:themeFill="accent1" w:themeFillShade="99"/>
      </w:tcPr>
    </w:tblStylePr>
    <w:tblStylePr w:type="firstCol">
      <w:rPr>
        <w:color w:val="BDAF77" w:themeColor="background1"/>
      </w:rPr>
      <w:tblPr/>
      <w:tcPr>
        <w:tcBorders>
          <w:top w:val="nil"/>
          <w:left w:val="nil"/>
          <w:bottom w:val="nil"/>
          <w:right w:val="nil"/>
          <w:insideH w:val="single" w:sz="4" w:space="0" w:color="497526" w:themeColor="accent1" w:themeShade="99"/>
          <w:insideV w:val="nil"/>
        </w:tcBorders>
        <w:shd w:val="clear" w:color="auto" w:fill="497526" w:themeFill="accent1" w:themeFillShade="99"/>
      </w:tcPr>
    </w:tblStylePr>
    <w:tblStylePr w:type="lastCol">
      <w:rPr>
        <w:color w:val="BDAF77" w:themeColor="background1"/>
      </w:rPr>
      <w:tblPr/>
      <w:tcPr>
        <w:tcBorders>
          <w:top w:val="nil"/>
          <w:left w:val="nil"/>
          <w:bottom w:val="nil"/>
          <w:right w:val="nil"/>
          <w:insideH w:val="nil"/>
          <w:insideV w:val="nil"/>
        </w:tcBorders>
        <w:shd w:val="clear" w:color="auto" w:fill="497526" w:themeFill="accent1" w:themeFillShade="99"/>
      </w:tcPr>
    </w:tblStylePr>
    <w:tblStylePr w:type="band1Vert">
      <w:tblPr/>
      <w:tcPr>
        <w:shd w:val="clear" w:color="auto" w:fill="CAE6B3" w:themeFill="accent1" w:themeFillTint="66"/>
      </w:tcPr>
    </w:tblStylePr>
    <w:tblStylePr w:type="band1Horz">
      <w:tblPr/>
      <w:tcPr>
        <w:shd w:val="clear" w:color="auto" w:fill="BDE0A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Pr>
      <w:color w:val="000000" w:themeColor="text1"/>
    </w:rPr>
    <w:tblPr>
      <w:tblStyleRowBandSize w:val="1"/>
      <w:tblStyleColBandSize w:val="1"/>
      <w:tblBorders>
        <w:top w:val="single" w:sz="24" w:space="0" w:color="4C9880" w:themeColor="accent2"/>
        <w:left w:val="single" w:sz="4" w:space="0" w:color="4C9880" w:themeColor="accent2"/>
        <w:bottom w:val="single" w:sz="4" w:space="0" w:color="4C9880" w:themeColor="accent2"/>
        <w:right w:val="single" w:sz="4" w:space="0" w:color="4C9880" w:themeColor="accent2"/>
        <w:insideH w:val="single" w:sz="4" w:space="0" w:color="BDAF77" w:themeColor="background1"/>
        <w:insideV w:val="single" w:sz="4" w:space="0" w:color="BDAF77" w:themeColor="background1"/>
      </w:tblBorders>
    </w:tblPr>
    <w:tcPr>
      <w:shd w:val="clear" w:color="auto" w:fill="ECF5F2" w:themeFill="accent2" w:themeFillTint="19"/>
    </w:tcPr>
    <w:tblStylePr w:type="firstRow">
      <w:rPr>
        <w:b/>
        <w:bCs/>
      </w:rPr>
      <w:tblPr/>
      <w:tcPr>
        <w:tcBorders>
          <w:top w:val="nil"/>
          <w:left w:val="nil"/>
          <w:bottom w:val="single" w:sz="24" w:space="0" w:color="4C9880" w:themeColor="accent2"/>
          <w:right w:val="nil"/>
          <w:insideH w:val="nil"/>
          <w:insideV w:val="nil"/>
        </w:tcBorders>
        <w:shd w:val="clear" w:color="auto" w:fill="BDAF77" w:themeFill="background1"/>
      </w:tcPr>
    </w:tblStylePr>
    <w:tblStylePr w:type="lastRow">
      <w:rPr>
        <w:b/>
        <w:bCs/>
        <w:color w:val="BDAF77" w:themeColor="background1"/>
      </w:rPr>
      <w:tblPr/>
      <w:tcPr>
        <w:tcBorders>
          <w:top w:val="single" w:sz="6" w:space="0" w:color="BDAF77" w:themeColor="background1"/>
        </w:tcBorders>
        <w:shd w:val="clear" w:color="auto" w:fill="2D5B4C" w:themeFill="accent2" w:themeFillShade="99"/>
      </w:tcPr>
    </w:tblStylePr>
    <w:tblStylePr w:type="firstCol">
      <w:rPr>
        <w:color w:val="BDAF77" w:themeColor="background1"/>
      </w:rPr>
      <w:tblPr/>
      <w:tcPr>
        <w:tcBorders>
          <w:top w:val="nil"/>
          <w:left w:val="nil"/>
          <w:bottom w:val="nil"/>
          <w:right w:val="nil"/>
          <w:insideH w:val="single" w:sz="4" w:space="0" w:color="2D5B4C" w:themeColor="accent2" w:themeShade="99"/>
          <w:insideV w:val="nil"/>
        </w:tcBorders>
        <w:shd w:val="clear" w:color="auto" w:fill="2D5B4C" w:themeFill="accent2" w:themeFillShade="99"/>
      </w:tcPr>
    </w:tblStylePr>
    <w:tblStylePr w:type="lastCol">
      <w:rPr>
        <w:color w:val="BDAF77" w:themeColor="background1"/>
      </w:rPr>
      <w:tblPr/>
      <w:tcPr>
        <w:tcBorders>
          <w:top w:val="nil"/>
          <w:left w:val="nil"/>
          <w:bottom w:val="nil"/>
          <w:right w:val="nil"/>
          <w:insideH w:val="nil"/>
          <w:insideV w:val="nil"/>
        </w:tcBorders>
        <w:shd w:val="clear" w:color="auto" w:fill="2D5B4C" w:themeFill="accent2" w:themeFillShade="99"/>
      </w:tcPr>
    </w:tblStylePr>
    <w:tblStylePr w:type="band1Vert">
      <w:tblPr/>
      <w:tcPr>
        <w:shd w:val="clear" w:color="auto" w:fill="B3D9CD" w:themeFill="accent2" w:themeFillTint="66"/>
      </w:tcPr>
    </w:tblStylePr>
    <w:tblStylePr w:type="band1Horz">
      <w:tblPr/>
      <w:tcPr>
        <w:shd w:val="clear" w:color="auto" w:fill="A1D0C1"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Pr>
      <w:color w:val="000000" w:themeColor="text1"/>
    </w:rPr>
    <w:tblPr>
      <w:tblStyleRowBandSize w:val="1"/>
      <w:tblStyleColBandSize w:val="1"/>
      <w:tblBorders>
        <w:top w:val="single" w:sz="24" w:space="0" w:color="000000" w:themeColor="accent4"/>
        <w:left w:val="single" w:sz="4" w:space="0" w:color="DBD4BD" w:themeColor="accent3"/>
        <w:bottom w:val="single" w:sz="4" w:space="0" w:color="DBD4BD" w:themeColor="accent3"/>
        <w:right w:val="single" w:sz="4" w:space="0" w:color="DBD4BD" w:themeColor="accent3"/>
        <w:insideH w:val="single" w:sz="4" w:space="0" w:color="BDAF77" w:themeColor="background1"/>
        <w:insideV w:val="single" w:sz="4" w:space="0" w:color="BDAF77" w:themeColor="background1"/>
      </w:tblBorders>
    </w:tblPr>
    <w:tcPr>
      <w:shd w:val="clear" w:color="auto" w:fill="FBFAF8" w:themeFill="accent3" w:themeFillTint="19"/>
    </w:tcPr>
    <w:tblStylePr w:type="firstRow">
      <w:rPr>
        <w:b/>
        <w:bCs/>
      </w:rPr>
      <w:tblPr/>
      <w:tcPr>
        <w:tcBorders>
          <w:top w:val="nil"/>
          <w:left w:val="nil"/>
          <w:bottom w:val="single" w:sz="24" w:space="0" w:color="000000" w:themeColor="accent4"/>
          <w:right w:val="nil"/>
          <w:insideH w:val="nil"/>
          <w:insideV w:val="nil"/>
        </w:tcBorders>
        <w:shd w:val="clear" w:color="auto" w:fill="BDAF77" w:themeFill="background1"/>
      </w:tcPr>
    </w:tblStylePr>
    <w:tblStylePr w:type="lastRow">
      <w:rPr>
        <w:b/>
        <w:bCs/>
        <w:color w:val="BDAF77" w:themeColor="background1"/>
      </w:rPr>
      <w:tblPr/>
      <w:tcPr>
        <w:tcBorders>
          <w:top w:val="single" w:sz="6" w:space="0" w:color="BDAF77" w:themeColor="background1"/>
        </w:tcBorders>
        <w:shd w:val="clear" w:color="auto" w:fill="9E8D56" w:themeFill="accent3" w:themeFillShade="99"/>
      </w:tcPr>
    </w:tblStylePr>
    <w:tblStylePr w:type="firstCol">
      <w:rPr>
        <w:color w:val="BDAF77" w:themeColor="background1"/>
      </w:rPr>
      <w:tblPr/>
      <w:tcPr>
        <w:tcBorders>
          <w:top w:val="nil"/>
          <w:left w:val="nil"/>
          <w:bottom w:val="nil"/>
          <w:right w:val="nil"/>
          <w:insideH w:val="single" w:sz="4" w:space="0" w:color="9E8D56" w:themeColor="accent3" w:themeShade="99"/>
          <w:insideV w:val="nil"/>
        </w:tcBorders>
        <w:shd w:val="clear" w:color="auto" w:fill="9E8D56" w:themeFill="accent3" w:themeFillShade="99"/>
      </w:tcPr>
    </w:tblStylePr>
    <w:tblStylePr w:type="lastCol">
      <w:rPr>
        <w:color w:val="BDAF77" w:themeColor="background1"/>
      </w:rPr>
      <w:tblPr/>
      <w:tcPr>
        <w:tcBorders>
          <w:top w:val="nil"/>
          <w:left w:val="nil"/>
          <w:bottom w:val="nil"/>
          <w:right w:val="nil"/>
          <w:insideH w:val="nil"/>
          <w:insideV w:val="nil"/>
        </w:tcBorders>
        <w:shd w:val="clear" w:color="auto" w:fill="9E8D56" w:themeFill="accent3" w:themeFillShade="99"/>
      </w:tcPr>
    </w:tblStylePr>
    <w:tblStylePr w:type="band1Vert">
      <w:tblPr/>
      <w:tcPr>
        <w:shd w:val="clear" w:color="auto" w:fill="F0EDE4" w:themeFill="accent3" w:themeFillTint="66"/>
      </w:tcPr>
    </w:tblStylePr>
    <w:tblStylePr w:type="band1Horz">
      <w:tblPr/>
      <w:tcPr>
        <w:shd w:val="clear" w:color="auto" w:fill="EDE9DE" w:themeFill="accent3" w:themeFillTint="7F"/>
      </w:tcPr>
    </w:tblStylePr>
  </w:style>
  <w:style w:type="table" w:styleId="ColorfulShading-Accent4">
    <w:name w:val="Colorful Shading Accent 4"/>
    <w:basedOn w:val="TableNormal"/>
    <w:uiPriority w:val="71"/>
    <w:semiHidden/>
    <w:rPr>
      <w:color w:val="000000" w:themeColor="text1"/>
    </w:rPr>
    <w:tblPr>
      <w:tblStyleRowBandSize w:val="1"/>
      <w:tblStyleColBandSize w:val="1"/>
      <w:tblBorders>
        <w:top w:val="single" w:sz="24" w:space="0" w:color="DBD4BD" w:themeColor="accent3"/>
        <w:left w:val="single" w:sz="4" w:space="0" w:color="000000" w:themeColor="accent4"/>
        <w:bottom w:val="single" w:sz="4" w:space="0" w:color="000000" w:themeColor="accent4"/>
        <w:right w:val="single" w:sz="4" w:space="0" w:color="000000" w:themeColor="accent4"/>
        <w:insideH w:val="single" w:sz="4" w:space="0" w:color="BDAF77" w:themeColor="background1"/>
        <w:insideV w:val="single" w:sz="4" w:space="0" w:color="BDAF77" w:themeColor="background1"/>
      </w:tblBorders>
    </w:tblPr>
    <w:tcPr>
      <w:shd w:val="clear" w:color="auto" w:fill="E6E6E6" w:themeFill="accent4" w:themeFillTint="19"/>
    </w:tcPr>
    <w:tblStylePr w:type="firstRow">
      <w:rPr>
        <w:b/>
        <w:bCs/>
      </w:rPr>
      <w:tblPr/>
      <w:tcPr>
        <w:tcBorders>
          <w:top w:val="nil"/>
          <w:left w:val="nil"/>
          <w:bottom w:val="single" w:sz="24" w:space="0" w:color="DBD4BD" w:themeColor="accent3"/>
          <w:right w:val="nil"/>
          <w:insideH w:val="nil"/>
          <w:insideV w:val="nil"/>
        </w:tcBorders>
        <w:shd w:val="clear" w:color="auto" w:fill="BDAF77" w:themeFill="background1"/>
      </w:tcPr>
    </w:tblStylePr>
    <w:tblStylePr w:type="lastRow">
      <w:rPr>
        <w:b/>
        <w:bCs/>
        <w:color w:val="BDAF77" w:themeColor="background1"/>
      </w:rPr>
      <w:tblPr/>
      <w:tcPr>
        <w:tcBorders>
          <w:top w:val="single" w:sz="6" w:space="0" w:color="BDAF77" w:themeColor="background1"/>
        </w:tcBorders>
        <w:shd w:val="clear" w:color="auto" w:fill="000000" w:themeFill="accent4" w:themeFillShade="99"/>
      </w:tcPr>
    </w:tblStylePr>
    <w:tblStylePr w:type="firstCol">
      <w:rPr>
        <w:color w:val="BDAF77" w:themeColor="background1"/>
      </w:rPr>
      <w:tblPr/>
      <w:tcPr>
        <w:tcBorders>
          <w:top w:val="nil"/>
          <w:left w:val="nil"/>
          <w:bottom w:val="nil"/>
          <w:right w:val="nil"/>
          <w:insideH w:val="single" w:sz="4" w:space="0" w:color="000000" w:themeColor="accent4" w:themeShade="99"/>
          <w:insideV w:val="nil"/>
        </w:tcBorders>
        <w:shd w:val="clear" w:color="auto" w:fill="000000" w:themeFill="accent4" w:themeFillShade="99"/>
      </w:tcPr>
    </w:tblStylePr>
    <w:tblStylePr w:type="lastCol">
      <w:rPr>
        <w:color w:val="BDAF77" w:themeColor="background1"/>
      </w:rPr>
      <w:tblPr/>
      <w:tcPr>
        <w:tcBorders>
          <w:top w:val="nil"/>
          <w:left w:val="nil"/>
          <w:bottom w:val="nil"/>
          <w:right w:val="nil"/>
          <w:insideH w:val="nil"/>
          <w:insideV w:val="nil"/>
        </w:tcBorders>
        <w:shd w:val="clear" w:color="auto" w:fill="000000" w:themeFill="accent4" w:themeFillShade="99"/>
      </w:tcPr>
    </w:tblStylePr>
    <w:tblStylePr w:type="band1Vert">
      <w:tblPr/>
      <w:tcPr>
        <w:shd w:val="clear" w:color="auto" w:fill="999999" w:themeFill="accent4" w:themeFillTint="66"/>
      </w:tcPr>
    </w:tblStylePr>
    <w:tblStylePr w:type="band1Horz">
      <w:tblPr/>
      <w:tcPr>
        <w:shd w:val="clear" w:color="auto" w:fill="8080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Pr>
      <w:color w:val="000000" w:themeColor="text1"/>
    </w:rPr>
    <w:tblPr>
      <w:tblStyleRowBandSize w:val="1"/>
      <w:tblStyleColBandSize w:val="1"/>
      <w:tblBorders>
        <w:top w:val="single" w:sz="24" w:space="0" w:color="448973" w:themeColor="accent6"/>
        <w:left w:val="single" w:sz="4" w:space="0" w:color="BFDDB0" w:themeColor="accent5"/>
        <w:bottom w:val="single" w:sz="4" w:space="0" w:color="BFDDB0" w:themeColor="accent5"/>
        <w:right w:val="single" w:sz="4" w:space="0" w:color="BFDDB0" w:themeColor="accent5"/>
        <w:insideH w:val="single" w:sz="4" w:space="0" w:color="BDAF77" w:themeColor="background1"/>
        <w:insideV w:val="single" w:sz="4" w:space="0" w:color="BDAF77" w:themeColor="background1"/>
      </w:tblBorders>
    </w:tblPr>
    <w:tcPr>
      <w:shd w:val="clear" w:color="auto" w:fill="F8FBF7" w:themeFill="accent5" w:themeFillTint="19"/>
    </w:tcPr>
    <w:tblStylePr w:type="firstRow">
      <w:rPr>
        <w:b/>
        <w:bCs/>
      </w:rPr>
      <w:tblPr/>
      <w:tcPr>
        <w:tcBorders>
          <w:top w:val="nil"/>
          <w:left w:val="nil"/>
          <w:bottom w:val="single" w:sz="24" w:space="0" w:color="448973" w:themeColor="accent6"/>
          <w:right w:val="nil"/>
          <w:insideH w:val="nil"/>
          <w:insideV w:val="nil"/>
        </w:tcBorders>
        <w:shd w:val="clear" w:color="auto" w:fill="BDAF77" w:themeFill="background1"/>
      </w:tcPr>
    </w:tblStylePr>
    <w:tblStylePr w:type="lastRow">
      <w:rPr>
        <w:b/>
        <w:bCs/>
        <w:color w:val="BDAF77" w:themeColor="background1"/>
      </w:rPr>
      <w:tblPr/>
      <w:tcPr>
        <w:tcBorders>
          <w:top w:val="single" w:sz="6" w:space="0" w:color="BDAF77" w:themeColor="background1"/>
        </w:tcBorders>
        <w:shd w:val="clear" w:color="auto" w:fill="67A647" w:themeFill="accent5" w:themeFillShade="99"/>
      </w:tcPr>
    </w:tblStylePr>
    <w:tblStylePr w:type="firstCol">
      <w:rPr>
        <w:color w:val="BDAF77" w:themeColor="background1"/>
      </w:rPr>
      <w:tblPr/>
      <w:tcPr>
        <w:tcBorders>
          <w:top w:val="nil"/>
          <w:left w:val="nil"/>
          <w:bottom w:val="nil"/>
          <w:right w:val="nil"/>
          <w:insideH w:val="single" w:sz="4" w:space="0" w:color="67A647" w:themeColor="accent5" w:themeShade="99"/>
          <w:insideV w:val="nil"/>
        </w:tcBorders>
        <w:shd w:val="clear" w:color="auto" w:fill="67A647" w:themeFill="accent5" w:themeFillShade="99"/>
      </w:tcPr>
    </w:tblStylePr>
    <w:tblStylePr w:type="lastCol">
      <w:rPr>
        <w:color w:val="BDAF77" w:themeColor="background1"/>
      </w:rPr>
      <w:tblPr/>
      <w:tcPr>
        <w:tcBorders>
          <w:top w:val="nil"/>
          <w:left w:val="nil"/>
          <w:bottom w:val="nil"/>
          <w:right w:val="nil"/>
          <w:insideH w:val="nil"/>
          <w:insideV w:val="nil"/>
        </w:tcBorders>
        <w:shd w:val="clear" w:color="auto" w:fill="67A647" w:themeFill="accent5" w:themeFillShade="99"/>
      </w:tcPr>
    </w:tblStylePr>
    <w:tblStylePr w:type="band1Vert">
      <w:tblPr/>
      <w:tcPr>
        <w:shd w:val="clear" w:color="auto" w:fill="E5F1DF" w:themeFill="accent5" w:themeFillTint="66"/>
      </w:tcPr>
    </w:tblStylePr>
    <w:tblStylePr w:type="band1Horz">
      <w:tblPr/>
      <w:tcPr>
        <w:shd w:val="clear" w:color="auto" w:fill="DFEED7"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Pr>
      <w:color w:val="000000" w:themeColor="text1"/>
    </w:rPr>
    <w:tblPr>
      <w:tblStyleRowBandSize w:val="1"/>
      <w:tblStyleColBandSize w:val="1"/>
      <w:tblBorders>
        <w:top w:val="single" w:sz="24" w:space="0" w:color="BFDDB0" w:themeColor="accent5"/>
        <w:left w:val="single" w:sz="4" w:space="0" w:color="448973" w:themeColor="accent6"/>
        <w:bottom w:val="single" w:sz="4" w:space="0" w:color="448973" w:themeColor="accent6"/>
        <w:right w:val="single" w:sz="4" w:space="0" w:color="448973" w:themeColor="accent6"/>
        <w:insideH w:val="single" w:sz="4" w:space="0" w:color="BDAF77" w:themeColor="background1"/>
        <w:insideV w:val="single" w:sz="4" w:space="0" w:color="BDAF77" w:themeColor="background1"/>
      </w:tblBorders>
    </w:tblPr>
    <w:tcPr>
      <w:shd w:val="clear" w:color="auto" w:fill="EAF5F1" w:themeFill="accent6" w:themeFillTint="19"/>
    </w:tcPr>
    <w:tblStylePr w:type="firstRow">
      <w:rPr>
        <w:b/>
        <w:bCs/>
      </w:rPr>
      <w:tblPr/>
      <w:tcPr>
        <w:tcBorders>
          <w:top w:val="nil"/>
          <w:left w:val="nil"/>
          <w:bottom w:val="single" w:sz="24" w:space="0" w:color="BFDDB0" w:themeColor="accent5"/>
          <w:right w:val="nil"/>
          <w:insideH w:val="nil"/>
          <w:insideV w:val="nil"/>
        </w:tcBorders>
        <w:shd w:val="clear" w:color="auto" w:fill="BDAF77" w:themeFill="background1"/>
      </w:tcPr>
    </w:tblStylePr>
    <w:tblStylePr w:type="lastRow">
      <w:rPr>
        <w:b/>
        <w:bCs/>
        <w:color w:val="BDAF77" w:themeColor="background1"/>
      </w:rPr>
      <w:tblPr/>
      <w:tcPr>
        <w:tcBorders>
          <w:top w:val="single" w:sz="6" w:space="0" w:color="BDAF77" w:themeColor="background1"/>
        </w:tcBorders>
        <w:shd w:val="clear" w:color="auto" w:fill="295244" w:themeFill="accent6" w:themeFillShade="99"/>
      </w:tcPr>
    </w:tblStylePr>
    <w:tblStylePr w:type="firstCol">
      <w:rPr>
        <w:color w:val="BDAF77" w:themeColor="background1"/>
      </w:rPr>
      <w:tblPr/>
      <w:tcPr>
        <w:tcBorders>
          <w:top w:val="nil"/>
          <w:left w:val="nil"/>
          <w:bottom w:val="nil"/>
          <w:right w:val="nil"/>
          <w:insideH w:val="single" w:sz="4" w:space="0" w:color="295244" w:themeColor="accent6" w:themeShade="99"/>
          <w:insideV w:val="nil"/>
        </w:tcBorders>
        <w:shd w:val="clear" w:color="auto" w:fill="295244" w:themeFill="accent6" w:themeFillShade="99"/>
      </w:tcPr>
    </w:tblStylePr>
    <w:tblStylePr w:type="lastCol">
      <w:rPr>
        <w:color w:val="BDAF77" w:themeColor="background1"/>
      </w:rPr>
      <w:tblPr/>
      <w:tcPr>
        <w:tcBorders>
          <w:top w:val="nil"/>
          <w:left w:val="nil"/>
          <w:bottom w:val="nil"/>
          <w:right w:val="nil"/>
          <w:insideH w:val="nil"/>
          <w:insideV w:val="nil"/>
        </w:tcBorders>
        <w:shd w:val="clear" w:color="auto" w:fill="295244" w:themeFill="accent6" w:themeFillShade="99"/>
      </w:tcPr>
    </w:tblStylePr>
    <w:tblStylePr w:type="band1Vert">
      <w:tblPr/>
      <w:tcPr>
        <w:shd w:val="clear" w:color="auto" w:fill="ADD6C9" w:themeFill="accent6" w:themeFillTint="66"/>
      </w:tcPr>
    </w:tblStylePr>
    <w:tblStylePr w:type="band1Horz">
      <w:tblPr/>
      <w:tcPr>
        <w:shd w:val="clear" w:color="auto" w:fill="99CCBC"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rPr>
      <w:rFonts w:ascii="Times New Roman" w:hAnsi="Times New Roman" w:cs="Times New Roman"/>
      <w:sz w:val="16"/>
      <w:szCs w:val="16"/>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table" w:styleId="DarkList">
    <w:name w:val="Dark List"/>
    <w:basedOn w:val="TableNormal"/>
    <w:uiPriority w:val="70"/>
    <w:semiHidden/>
    <w:rPr>
      <w:color w:val="BDAF77"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BDAF77" w:themeColor="background1"/>
          <w:right w:val="nil"/>
          <w:insideH w:val="nil"/>
          <w:insideV w:val="nil"/>
        </w:tcBorders>
        <w:shd w:val="clear" w:color="auto" w:fill="000000" w:themeFill="text1"/>
      </w:tcPr>
    </w:tblStylePr>
    <w:tblStylePr w:type="lastRow">
      <w:tblPr/>
      <w:tcPr>
        <w:tcBorders>
          <w:top w:val="single" w:sz="18" w:space="0" w:color="BDAF77"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BDAF77" w:themeColor="background1"/>
          <w:insideH w:val="nil"/>
          <w:insideV w:val="nil"/>
        </w:tcBorders>
        <w:shd w:val="clear" w:color="auto" w:fill="000000" w:themeFill="text1" w:themeFillShade="BF"/>
      </w:tcPr>
    </w:tblStylePr>
    <w:tblStylePr w:type="lastCol">
      <w:tblPr/>
      <w:tcPr>
        <w:tcBorders>
          <w:top w:val="nil"/>
          <w:left w:val="single" w:sz="18" w:space="0" w:color="BDAF77"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Pr>
      <w:color w:val="BDAF77" w:themeColor="background1"/>
    </w:rPr>
    <w:tblPr>
      <w:tblStyleRowBandSize w:val="1"/>
      <w:tblStyleColBandSize w:val="1"/>
    </w:tblPr>
    <w:tcPr>
      <w:shd w:val="clear" w:color="auto" w:fill="7BC143" w:themeFill="accent1"/>
    </w:tcPr>
    <w:tblStylePr w:type="firstRow">
      <w:rPr>
        <w:b/>
        <w:bCs/>
      </w:rPr>
      <w:tblPr/>
      <w:tcPr>
        <w:tcBorders>
          <w:top w:val="nil"/>
          <w:left w:val="nil"/>
          <w:bottom w:val="single" w:sz="18" w:space="0" w:color="BDAF77" w:themeColor="background1"/>
          <w:right w:val="nil"/>
          <w:insideH w:val="nil"/>
          <w:insideV w:val="nil"/>
        </w:tcBorders>
        <w:shd w:val="clear" w:color="auto" w:fill="000000" w:themeFill="text1"/>
      </w:tcPr>
    </w:tblStylePr>
    <w:tblStylePr w:type="lastRow">
      <w:tblPr/>
      <w:tcPr>
        <w:tcBorders>
          <w:top w:val="single" w:sz="18" w:space="0" w:color="BDAF77" w:themeColor="background1"/>
          <w:left w:val="nil"/>
          <w:bottom w:val="nil"/>
          <w:right w:val="nil"/>
          <w:insideH w:val="nil"/>
          <w:insideV w:val="nil"/>
        </w:tcBorders>
        <w:shd w:val="clear" w:color="auto" w:fill="3C6120" w:themeFill="accent1" w:themeFillShade="7F"/>
      </w:tcPr>
    </w:tblStylePr>
    <w:tblStylePr w:type="firstCol">
      <w:tblPr/>
      <w:tcPr>
        <w:tcBorders>
          <w:top w:val="nil"/>
          <w:left w:val="nil"/>
          <w:bottom w:val="nil"/>
          <w:right w:val="single" w:sz="18" w:space="0" w:color="BDAF77" w:themeColor="background1"/>
          <w:insideH w:val="nil"/>
          <w:insideV w:val="nil"/>
        </w:tcBorders>
        <w:shd w:val="clear" w:color="auto" w:fill="5B9230" w:themeFill="accent1" w:themeFillShade="BF"/>
      </w:tcPr>
    </w:tblStylePr>
    <w:tblStylePr w:type="lastCol">
      <w:tblPr/>
      <w:tcPr>
        <w:tcBorders>
          <w:top w:val="nil"/>
          <w:left w:val="single" w:sz="18" w:space="0" w:color="BDAF77" w:themeColor="background1"/>
          <w:bottom w:val="nil"/>
          <w:right w:val="nil"/>
          <w:insideH w:val="nil"/>
          <w:insideV w:val="nil"/>
        </w:tcBorders>
        <w:shd w:val="clear" w:color="auto" w:fill="5B9230" w:themeFill="accent1" w:themeFillShade="BF"/>
      </w:tcPr>
    </w:tblStylePr>
    <w:tblStylePr w:type="band1Vert">
      <w:tblPr/>
      <w:tcPr>
        <w:tcBorders>
          <w:top w:val="nil"/>
          <w:left w:val="nil"/>
          <w:bottom w:val="nil"/>
          <w:right w:val="nil"/>
          <w:insideH w:val="nil"/>
          <w:insideV w:val="nil"/>
        </w:tcBorders>
        <w:shd w:val="clear" w:color="auto" w:fill="5B9230" w:themeFill="accent1" w:themeFillShade="BF"/>
      </w:tcPr>
    </w:tblStylePr>
    <w:tblStylePr w:type="band1Horz">
      <w:tblPr/>
      <w:tcPr>
        <w:tcBorders>
          <w:top w:val="nil"/>
          <w:left w:val="nil"/>
          <w:bottom w:val="nil"/>
          <w:right w:val="nil"/>
          <w:insideH w:val="nil"/>
          <w:insideV w:val="nil"/>
        </w:tcBorders>
        <w:shd w:val="clear" w:color="auto" w:fill="5B9230" w:themeFill="accent1" w:themeFillShade="BF"/>
      </w:tcPr>
    </w:tblStylePr>
  </w:style>
  <w:style w:type="table" w:styleId="DarkList-Accent2">
    <w:name w:val="Dark List Accent 2"/>
    <w:basedOn w:val="TableNormal"/>
    <w:uiPriority w:val="70"/>
    <w:semiHidden/>
    <w:rPr>
      <w:color w:val="BDAF77" w:themeColor="background1"/>
    </w:rPr>
    <w:tblPr>
      <w:tblStyleRowBandSize w:val="1"/>
      <w:tblStyleColBandSize w:val="1"/>
    </w:tblPr>
    <w:tcPr>
      <w:shd w:val="clear" w:color="auto" w:fill="4C9880" w:themeFill="accent2"/>
    </w:tcPr>
    <w:tblStylePr w:type="firstRow">
      <w:rPr>
        <w:b/>
        <w:bCs/>
      </w:rPr>
      <w:tblPr/>
      <w:tcPr>
        <w:tcBorders>
          <w:top w:val="nil"/>
          <w:left w:val="nil"/>
          <w:bottom w:val="single" w:sz="18" w:space="0" w:color="BDAF77" w:themeColor="background1"/>
          <w:right w:val="nil"/>
          <w:insideH w:val="nil"/>
          <w:insideV w:val="nil"/>
        </w:tcBorders>
        <w:shd w:val="clear" w:color="auto" w:fill="000000" w:themeFill="text1"/>
      </w:tcPr>
    </w:tblStylePr>
    <w:tblStylePr w:type="lastRow">
      <w:tblPr/>
      <w:tcPr>
        <w:tcBorders>
          <w:top w:val="single" w:sz="18" w:space="0" w:color="BDAF77" w:themeColor="background1"/>
          <w:left w:val="nil"/>
          <w:bottom w:val="nil"/>
          <w:right w:val="nil"/>
          <w:insideH w:val="nil"/>
          <w:insideV w:val="nil"/>
        </w:tcBorders>
        <w:shd w:val="clear" w:color="auto" w:fill="254B3F" w:themeFill="accent2" w:themeFillShade="7F"/>
      </w:tcPr>
    </w:tblStylePr>
    <w:tblStylePr w:type="firstCol">
      <w:tblPr/>
      <w:tcPr>
        <w:tcBorders>
          <w:top w:val="nil"/>
          <w:left w:val="nil"/>
          <w:bottom w:val="nil"/>
          <w:right w:val="single" w:sz="18" w:space="0" w:color="BDAF77" w:themeColor="background1"/>
          <w:insideH w:val="nil"/>
          <w:insideV w:val="nil"/>
        </w:tcBorders>
        <w:shd w:val="clear" w:color="auto" w:fill="39715F" w:themeFill="accent2" w:themeFillShade="BF"/>
      </w:tcPr>
    </w:tblStylePr>
    <w:tblStylePr w:type="lastCol">
      <w:tblPr/>
      <w:tcPr>
        <w:tcBorders>
          <w:top w:val="nil"/>
          <w:left w:val="single" w:sz="18" w:space="0" w:color="BDAF77" w:themeColor="background1"/>
          <w:bottom w:val="nil"/>
          <w:right w:val="nil"/>
          <w:insideH w:val="nil"/>
          <w:insideV w:val="nil"/>
        </w:tcBorders>
        <w:shd w:val="clear" w:color="auto" w:fill="39715F" w:themeFill="accent2" w:themeFillShade="BF"/>
      </w:tcPr>
    </w:tblStylePr>
    <w:tblStylePr w:type="band1Vert">
      <w:tblPr/>
      <w:tcPr>
        <w:tcBorders>
          <w:top w:val="nil"/>
          <w:left w:val="nil"/>
          <w:bottom w:val="nil"/>
          <w:right w:val="nil"/>
          <w:insideH w:val="nil"/>
          <w:insideV w:val="nil"/>
        </w:tcBorders>
        <w:shd w:val="clear" w:color="auto" w:fill="39715F" w:themeFill="accent2" w:themeFillShade="BF"/>
      </w:tcPr>
    </w:tblStylePr>
    <w:tblStylePr w:type="band1Horz">
      <w:tblPr/>
      <w:tcPr>
        <w:tcBorders>
          <w:top w:val="nil"/>
          <w:left w:val="nil"/>
          <w:bottom w:val="nil"/>
          <w:right w:val="nil"/>
          <w:insideH w:val="nil"/>
          <w:insideV w:val="nil"/>
        </w:tcBorders>
        <w:shd w:val="clear" w:color="auto" w:fill="39715F" w:themeFill="accent2" w:themeFillShade="BF"/>
      </w:tcPr>
    </w:tblStylePr>
  </w:style>
  <w:style w:type="table" w:styleId="DarkList-Accent3">
    <w:name w:val="Dark List Accent 3"/>
    <w:basedOn w:val="TableNormal"/>
    <w:uiPriority w:val="70"/>
    <w:semiHidden/>
    <w:rPr>
      <w:color w:val="BDAF77" w:themeColor="background1"/>
    </w:rPr>
    <w:tblPr>
      <w:tblStyleRowBandSize w:val="1"/>
      <w:tblStyleColBandSize w:val="1"/>
    </w:tblPr>
    <w:tcPr>
      <w:shd w:val="clear" w:color="auto" w:fill="DBD4BD" w:themeFill="accent3"/>
    </w:tcPr>
    <w:tblStylePr w:type="firstRow">
      <w:rPr>
        <w:b/>
        <w:bCs/>
      </w:rPr>
      <w:tblPr/>
      <w:tcPr>
        <w:tcBorders>
          <w:top w:val="nil"/>
          <w:left w:val="nil"/>
          <w:bottom w:val="single" w:sz="18" w:space="0" w:color="BDAF77" w:themeColor="background1"/>
          <w:right w:val="nil"/>
          <w:insideH w:val="nil"/>
          <w:insideV w:val="nil"/>
        </w:tcBorders>
        <w:shd w:val="clear" w:color="auto" w:fill="000000" w:themeFill="text1"/>
      </w:tcPr>
    </w:tblStylePr>
    <w:tblStylePr w:type="lastRow">
      <w:tblPr/>
      <w:tcPr>
        <w:tcBorders>
          <w:top w:val="single" w:sz="18" w:space="0" w:color="BDAF77" w:themeColor="background1"/>
          <w:left w:val="nil"/>
          <w:bottom w:val="nil"/>
          <w:right w:val="nil"/>
          <w:insideH w:val="nil"/>
          <w:insideV w:val="nil"/>
        </w:tcBorders>
        <w:shd w:val="clear" w:color="auto" w:fill="837547" w:themeFill="accent3" w:themeFillShade="7F"/>
      </w:tcPr>
    </w:tblStylePr>
    <w:tblStylePr w:type="firstCol">
      <w:tblPr/>
      <w:tcPr>
        <w:tcBorders>
          <w:top w:val="nil"/>
          <w:left w:val="nil"/>
          <w:bottom w:val="nil"/>
          <w:right w:val="single" w:sz="18" w:space="0" w:color="BDAF77" w:themeColor="background1"/>
          <w:insideH w:val="nil"/>
          <w:insideV w:val="nil"/>
        </w:tcBorders>
        <w:shd w:val="clear" w:color="auto" w:fill="B6A87A" w:themeFill="accent3" w:themeFillShade="BF"/>
      </w:tcPr>
    </w:tblStylePr>
    <w:tblStylePr w:type="lastCol">
      <w:tblPr/>
      <w:tcPr>
        <w:tcBorders>
          <w:top w:val="nil"/>
          <w:left w:val="single" w:sz="18" w:space="0" w:color="BDAF77" w:themeColor="background1"/>
          <w:bottom w:val="nil"/>
          <w:right w:val="nil"/>
          <w:insideH w:val="nil"/>
          <w:insideV w:val="nil"/>
        </w:tcBorders>
        <w:shd w:val="clear" w:color="auto" w:fill="B6A87A" w:themeFill="accent3" w:themeFillShade="BF"/>
      </w:tcPr>
    </w:tblStylePr>
    <w:tblStylePr w:type="band1Vert">
      <w:tblPr/>
      <w:tcPr>
        <w:tcBorders>
          <w:top w:val="nil"/>
          <w:left w:val="nil"/>
          <w:bottom w:val="nil"/>
          <w:right w:val="nil"/>
          <w:insideH w:val="nil"/>
          <w:insideV w:val="nil"/>
        </w:tcBorders>
        <w:shd w:val="clear" w:color="auto" w:fill="B6A87A" w:themeFill="accent3" w:themeFillShade="BF"/>
      </w:tcPr>
    </w:tblStylePr>
    <w:tblStylePr w:type="band1Horz">
      <w:tblPr/>
      <w:tcPr>
        <w:tcBorders>
          <w:top w:val="nil"/>
          <w:left w:val="nil"/>
          <w:bottom w:val="nil"/>
          <w:right w:val="nil"/>
          <w:insideH w:val="nil"/>
          <w:insideV w:val="nil"/>
        </w:tcBorders>
        <w:shd w:val="clear" w:color="auto" w:fill="B6A87A" w:themeFill="accent3" w:themeFillShade="BF"/>
      </w:tcPr>
    </w:tblStylePr>
  </w:style>
  <w:style w:type="table" w:styleId="DarkList-Accent4">
    <w:name w:val="Dark List Accent 4"/>
    <w:basedOn w:val="TableNormal"/>
    <w:uiPriority w:val="70"/>
    <w:semiHidden/>
    <w:rPr>
      <w:color w:val="BDAF77" w:themeColor="background1"/>
    </w:rPr>
    <w:tblPr>
      <w:tblStyleRowBandSize w:val="1"/>
      <w:tblStyleColBandSize w:val="1"/>
    </w:tblPr>
    <w:tcPr>
      <w:shd w:val="clear" w:color="auto" w:fill="000000" w:themeFill="accent4"/>
    </w:tcPr>
    <w:tblStylePr w:type="firstRow">
      <w:rPr>
        <w:b/>
        <w:bCs/>
      </w:rPr>
      <w:tblPr/>
      <w:tcPr>
        <w:tcBorders>
          <w:top w:val="nil"/>
          <w:left w:val="nil"/>
          <w:bottom w:val="single" w:sz="18" w:space="0" w:color="BDAF77" w:themeColor="background1"/>
          <w:right w:val="nil"/>
          <w:insideH w:val="nil"/>
          <w:insideV w:val="nil"/>
        </w:tcBorders>
        <w:shd w:val="clear" w:color="auto" w:fill="000000" w:themeFill="text1"/>
      </w:tcPr>
    </w:tblStylePr>
    <w:tblStylePr w:type="lastRow">
      <w:tblPr/>
      <w:tcPr>
        <w:tcBorders>
          <w:top w:val="single" w:sz="18" w:space="0" w:color="BDAF77" w:themeColor="background1"/>
          <w:left w:val="nil"/>
          <w:bottom w:val="nil"/>
          <w:right w:val="nil"/>
          <w:insideH w:val="nil"/>
          <w:insideV w:val="nil"/>
        </w:tcBorders>
        <w:shd w:val="clear" w:color="auto" w:fill="000000" w:themeFill="accent4" w:themeFillShade="7F"/>
      </w:tcPr>
    </w:tblStylePr>
    <w:tblStylePr w:type="firstCol">
      <w:tblPr/>
      <w:tcPr>
        <w:tcBorders>
          <w:top w:val="nil"/>
          <w:left w:val="nil"/>
          <w:bottom w:val="nil"/>
          <w:right w:val="single" w:sz="18" w:space="0" w:color="BDAF77" w:themeColor="background1"/>
          <w:insideH w:val="nil"/>
          <w:insideV w:val="nil"/>
        </w:tcBorders>
        <w:shd w:val="clear" w:color="auto" w:fill="000000" w:themeFill="accent4" w:themeFillShade="BF"/>
      </w:tcPr>
    </w:tblStylePr>
    <w:tblStylePr w:type="lastCol">
      <w:tblPr/>
      <w:tcPr>
        <w:tcBorders>
          <w:top w:val="nil"/>
          <w:left w:val="single" w:sz="18" w:space="0" w:color="BDAF77" w:themeColor="background1"/>
          <w:bottom w:val="nil"/>
          <w:right w:val="nil"/>
          <w:insideH w:val="nil"/>
          <w:insideV w:val="nil"/>
        </w:tcBorders>
        <w:shd w:val="clear" w:color="auto" w:fill="000000" w:themeFill="accent4" w:themeFillShade="BF"/>
      </w:tcPr>
    </w:tblStylePr>
    <w:tblStylePr w:type="band1Vert">
      <w:tblPr/>
      <w:tcPr>
        <w:tcBorders>
          <w:top w:val="nil"/>
          <w:left w:val="nil"/>
          <w:bottom w:val="nil"/>
          <w:right w:val="nil"/>
          <w:insideH w:val="nil"/>
          <w:insideV w:val="nil"/>
        </w:tcBorders>
        <w:shd w:val="clear" w:color="auto" w:fill="000000" w:themeFill="accent4" w:themeFillShade="BF"/>
      </w:tcPr>
    </w:tblStylePr>
    <w:tblStylePr w:type="band1Horz">
      <w:tblPr/>
      <w:tcPr>
        <w:tcBorders>
          <w:top w:val="nil"/>
          <w:left w:val="nil"/>
          <w:bottom w:val="nil"/>
          <w:right w:val="nil"/>
          <w:insideH w:val="nil"/>
          <w:insideV w:val="nil"/>
        </w:tcBorders>
        <w:shd w:val="clear" w:color="auto" w:fill="000000" w:themeFill="accent4" w:themeFillShade="BF"/>
      </w:tcPr>
    </w:tblStylePr>
  </w:style>
  <w:style w:type="table" w:styleId="DarkList-Accent5">
    <w:name w:val="Dark List Accent 5"/>
    <w:basedOn w:val="TableNormal"/>
    <w:uiPriority w:val="70"/>
    <w:semiHidden/>
    <w:rPr>
      <w:color w:val="BDAF77" w:themeColor="background1"/>
    </w:rPr>
    <w:tblPr>
      <w:tblStyleRowBandSize w:val="1"/>
      <w:tblStyleColBandSize w:val="1"/>
    </w:tblPr>
    <w:tcPr>
      <w:shd w:val="clear" w:color="auto" w:fill="BFDDB0" w:themeFill="accent5"/>
    </w:tcPr>
    <w:tblStylePr w:type="firstRow">
      <w:rPr>
        <w:b/>
        <w:bCs/>
      </w:rPr>
      <w:tblPr/>
      <w:tcPr>
        <w:tcBorders>
          <w:top w:val="nil"/>
          <w:left w:val="nil"/>
          <w:bottom w:val="single" w:sz="18" w:space="0" w:color="BDAF77" w:themeColor="background1"/>
          <w:right w:val="nil"/>
          <w:insideH w:val="nil"/>
          <w:insideV w:val="nil"/>
        </w:tcBorders>
        <w:shd w:val="clear" w:color="auto" w:fill="000000" w:themeFill="text1"/>
      </w:tcPr>
    </w:tblStylePr>
    <w:tblStylePr w:type="lastRow">
      <w:tblPr/>
      <w:tcPr>
        <w:tcBorders>
          <w:top w:val="single" w:sz="18" w:space="0" w:color="BDAF77" w:themeColor="background1"/>
          <w:left w:val="nil"/>
          <w:bottom w:val="nil"/>
          <w:right w:val="nil"/>
          <w:insideH w:val="nil"/>
          <w:insideV w:val="nil"/>
        </w:tcBorders>
        <w:shd w:val="clear" w:color="auto" w:fill="558A3B" w:themeFill="accent5" w:themeFillShade="7F"/>
      </w:tcPr>
    </w:tblStylePr>
    <w:tblStylePr w:type="firstCol">
      <w:tblPr/>
      <w:tcPr>
        <w:tcBorders>
          <w:top w:val="nil"/>
          <w:left w:val="nil"/>
          <w:bottom w:val="nil"/>
          <w:right w:val="single" w:sz="18" w:space="0" w:color="BDAF77" w:themeColor="background1"/>
          <w:insideH w:val="nil"/>
          <w:insideV w:val="nil"/>
        </w:tcBorders>
        <w:shd w:val="clear" w:color="auto" w:fill="86BF6A" w:themeFill="accent5" w:themeFillShade="BF"/>
      </w:tcPr>
    </w:tblStylePr>
    <w:tblStylePr w:type="lastCol">
      <w:tblPr/>
      <w:tcPr>
        <w:tcBorders>
          <w:top w:val="nil"/>
          <w:left w:val="single" w:sz="18" w:space="0" w:color="BDAF77" w:themeColor="background1"/>
          <w:bottom w:val="nil"/>
          <w:right w:val="nil"/>
          <w:insideH w:val="nil"/>
          <w:insideV w:val="nil"/>
        </w:tcBorders>
        <w:shd w:val="clear" w:color="auto" w:fill="86BF6A" w:themeFill="accent5" w:themeFillShade="BF"/>
      </w:tcPr>
    </w:tblStylePr>
    <w:tblStylePr w:type="band1Vert">
      <w:tblPr/>
      <w:tcPr>
        <w:tcBorders>
          <w:top w:val="nil"/>
          <w:left w:val="nil"/>
          <w:bottom w:val="nil"/>
          <w:right w:val="nil"/>
          <w:insideH w:val="nil"/>
          <w:insideV w:val="nil"/>
        </w:tcBorders>
        <w:shd w:val="clear" w:color="auto" w:fill="86BF6A" w:themeFill="accent5" w:themeFillShade="BF"/>
      </w:tcPr>
    </w:tblStylePr>
    <w:tblStylePr w:type="band1Horz">
      <w:tblPr/>
      <w:tcPr>
        <w:tcBorders>
          <w:top w:val="nil"/>
          <w:left w:val="nil"/>
          <w:bottom w:val="nil"/>
          <w:right w:val="nil"/>
          <w:insideH w:val="nil"/>
          <w:insideV w:val="nil"/>
        </w:tcBorders>
        <w:shd w:val="clear" w:color="auto" w:fill="86BF6A" w:themeFill="accent5" w:themeFillShade="BF"/>
      </w:tcPr>
    </w:tblStylePr>
  </w:style>
  <w:style w:type="table" w:styleId="DarkList-Accent6">
    <w:name w:val="Dark List Accent 6"/>
    <w:basedOn w:val="TableNormal"/>
    <w:uiPriority w:val="70"/>
    <w:semiHidden/>
    <w:rPr>
      <w:color w:val="BDAF77" w:themeColor="background1"/>
    </w:rPr>
    <w:tblPr>
      <w:tblStyleRowBandSize w:val="1"/>
      <w:tblStyleColBandSize w:val="1"/>
    </w:tblPr>
    <w:tcPr>
      <w:shd w:val="clear" w:color="auto" w:fill="448973" w:themeFill="accent6"/>
    </w:tcPr>
    <w:tblStylePr w:type="firstRow">
      <w:rPr>
        <w:b/>
        <w:bCs/>
      </w:rPr>
      <w:tblPr/>
      <w:tcPr>
        <w:tcBorders>
          <w:top w:val="nil"/>
          <w:left w:val="nil"/>
          <w:bottom w:val="single" w:sz="18" w:space="0" w:color="BDAF77" w:themeColor="background1"/>
          <w:right w:val="nil"/>
          <w:insideH w:val="nil"/>
          <w:insideV w:val="nil"/>
        </w:tcBorders>
        <w:shd w:val="clear" w:color="auto" w:fill="000000" w:themeFill="text1"/>
      </w:tcPr>
    </w:tblStylePr>
    <w:tblStylePr w:type="lastRow">
      <w:tblPr/>
      <w:tcPr>
        <w:tcBorders>
          <w:top w:val="single" w:sz="18" w:space="0" w:color="BDAF77" w:themeColor="background1"/>
          <w:left w:val="nil"/>
          <w:bottom w:val="nil"/>
          <w:right w:val="nil"/>
          <w:insideH w:val="nil"/>
          <w:insideV w:val="nil"/>
        </w:tcBorders>
        <w:shd w:val="clear" w:color="auto" w:fill="224439" w:themeFill="accent6" w:themeFillShade="7F"/>
      </w:tcPr>
    </w:tblStylePr>
    <w:tblStylePr w:type="firstCol">
      <w:tblPr/>
      <w:tcPr>
        <w:tcBorders>
          <w:top w:val="nil"/>
          <w:left w:val="nil"/>
          <w:bottom w:val="nil"/>
          <w:right w:val="single" w:sz="18" w:space="0" w:color="BDAF77" w:themeColor="background1"/>
          <w:insideH w:val="nil"/>
          <w:insideV w:val="nil"/>
        </w:tcBorders>
        <w:shd w:val="clear" w:color="auto" w:fill="336655" w:themeFill="accent6" w:themeFillShade="BF"/>
      </w:tcPr>
    </w:tblStylePr>
    <w:tblStylePr w:type="lastCol">
      <w:tblPr/>
      <w:tcPr>
        <w:tcBorders>
          <w:top w:val="nil"/>
          <w:left w:val="single" w:sz="18" w:space="0" w:color="BDAF77" w:themeColor="background1"/>
          <w:bottom w:val="nil"/>
          <w:right w:val="nil"/>
          <w:insideH w:val="nil"/>
          <w:insideV w:val="nil"/>
        </w:tcBorders>
        <w:shd w:val="clear" w:color="auto" w:fill="336655" w:themeFill="accent6" w:themeFillShade="BF"/>
      </w:tcPr>
    </w:tblStylePr>
    <w:tblStylePr w:type="band1Vert">
      <w:tblPr/>
      <w:tcPr>
        <w:tcBorders>
          <w:top w:val="nil"/>
          <w:left w:val="nil"/>
          <w:bottom w:val="nil"/>
          <w:right w:val="nil"/>
          <w:insideH w:val="nil"/>
          <w:insideV w:val="nil"/>
        </w:tcBorders>
        <w:shd w:val="clear" w:color="auto" w:fill="336655" w:themeFill="accent6" w:themeFillShade="BF"/>
      </w:tcPr>
    </w:tblStylePr>
    <w:tblStylePr w:type="band1Horz">
      <w:tblPr/>
      <w:tcPr>
        <w:tcBorders>
          <w:top w:val="nil"/>
          <w:left w:val="nil"/>
          <w:bottom w:val="nil"/>
          <w:right w:val="nil"/>
          <w:insideH w:val="nil"/>
          <w:insideV w:val="nil"/>
        </w:tcBorders>
        <w:shd w:val="clear" w:color="auto" w:fill="336655" w:themeFill="accent6" w:themeFillShade="BF"/>
      </w:tcPr>
    </w:tblStyle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sz w:val="24"/>
      <w:szCs w:val="20"/>
    </w:rPr>
  </w:style>
  <w:style w:type="paragraph" w:styleId="DocumentMap">
    <w:name w:val="Document Map"/>
    <w:basedOn w:val="Normal"/>
    <w:link w:val="DocumentMapChar"/>
    <w:semiHidden/>
    <w:rPr>
      <w:sz w:val="16"/>
      <w:szCs w:val="16"/>
    </w:rPr>
  </w:style>
  <w:style w:type="character" w:customStyle="1" w:styleId="DocumentMapChar">
    <w:name w:val="Document Map Char"/>
    <w:basedOn w:val="DefaultParagraphFont"/>
    <w:link w:val="DocumentMap"/>
    <w:semiHidden/>
    <w:rPr>
      <w:rFonts w:ascii="Times New Roman" w:eastAsia="Times New Roman" w:hAnsi="Times New Roman" w:cs="Times New Roman"/>
      <w:sz w:val="16"/>
      <w:szCs w:val="16"/>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sz w:val="24"/>
      <w:szCs w:val="20"/>
    </w:rPr>
  </w:style>
  <w:style w:type="character" w:styleId="Emphasis">
    <w:name w:val="Emphasis"/>
    <w:basedOn w:val="DefaultParagraphFont"/>
    <w:semiHidden/>
    <w:rPr>
      <w:rFonts w:ascii="Times New Roman" w:hAnsi="Times New Roman" w:cs="Times New Roman"/>
      <w:i/>
      <w:iCs/>
    </w:rPr>
  </w:style>
  <w:style w:type="character" w:styleId="EndnoteReference">
    <w:name w:val="endnote reference"/>
    <w:basedOn w:val="DefaultParagraphFont"/>
    <w:semiHidden/>
    <w:rPr>
      <w:rFonts w:ascii="Times New Roman" w:hAnsi="Times New Roman" w:cs="Times New Roman"/>
      <w:vertAlign w:val="superscript"/>
    </w:rPr>
  </w:style>
  <w:style w:type="paragraph" w:styleId="EndnoteText">
    <w:name w:val="endnote text"/>
    <w:basedOn w:val="Normal"/>
    <w:link w:val="EndnoteTextChar"/>
    <w:semiHidden/>
    <w:rPr>
      <w:sz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0"/>
      <w:szCs w:val="20"/>
    </w:rPr>
  </w:style>
  <w:style w:type="paragraph" w:styleId="EnvelopeAddress">
    <w:name w:val="envelope address"/>
    <w:basedOn w:val="Normal"/>
    <w:semiHidden/>
    <w:pPr>
      <w:framePr w:w="7920" w:h="1980" w:hRule="exact" w:hSpace="180" w:wrap="auto" w:hAnchor="page" w:xAlign="center" w:yAlign="bottom"/>
      <w:ind w:left="2880"/>
    </w:pPr>
    <w:rPr>
      <w:rFonts w:eastAsiaTheme="majorEastAsia"/>
    </w:rPr>
  </w:style>
  <w:style w:type="paragraph" w:styleId="EnvelopeReturn">
    <w:name w:val="envelope return"/>
    <w:basedOn w:val="Normal"/>
    <w:semiHidden/>
    <w:rPr>
      <w:rFonts w:eastAsiaTheme="majorEastAsia"/>
      <w:sz w:val="20"/>
    </w:rPr>
  </w:style>
  <w:style w:type="character" w:styleId="FollowedHyperlink">
    <w:name w:val="FollowedHyperlink"/>
    <w:basedOn w:val="DefaultParagraphFont"/>
    <w:semiHidden/>
    <w:rPr>
      <w:rFonts w:ascii="Times New Roman" w:hAnsi="Times New Roman" w:cs="Times New Roman"/>
      <w:color w:val="957B34" w:themeColor="followedHyperlink"/>
      <w:u w:val="single"/>
    </w:rPr>
  </w:style>
  <w:style w:type="character" w:styleId="FootnoteReference">
    <w:name w:val="footnote reference"/>
    <w:basedOn w:val="DefaultParagraphFont"/>
    <w:semiHidden/>
    <w:rPr>
      <w:rFonts w:ascii="Times New Roman" w:hAnsi="Times New Roman" w:cs="Times New Roman"/>
      <w:vertAlign w:val="superscript"/>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HTMLAcronym">
    <w:name w:val="HTML Acronym"/>
    <w:basedOn w:val="DefaultParagraphFont"/>
    <w:semiHidden/>
    <w:rPr>
      <w:rFonts w:ascii="Times New Roman" w:hAnsi="Times New Roman" w:cs="Times New Roman"/>
    </w:rPr>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sz w:val="24"/>
      <w:szCs w:val="20"/>
    </w:rPr>
  </w:style>
  <w:style w:type="character" w:styleId="HTMLCite">
    <w:name w:val="HTML Cite"/>
    <w:basedOn w:val="DefaultParagraphFont"/>
    <w:semiHidden/>
    <w:rPr>
      <w:rFonts w:ascii="Times New Roman" w:hAnsi="Times New Roman" w:cs="Times New Roman"/>
      <w:i/>
      <w:iCs/>
    </w:rPr>
  </w:style>
  <w:style w:type="character" w:styleId="HTMLCode">
    <w:name w:val="HTML Code"/>
    <w:basedOn w:val="DefaultParagraphFont"/>
    <w:semiHidden/>
    <w:rPr>
      <w:rFonts w:ascii="Consolas" w:hAnsi="Consolas" w:cs="Consolas"/>
      <w:sz w:val="20"/>
      <w:szCs w:val="20"/>
    </w:rPr>
  </w:style>
  <w:style w:type="character" w:styleId="HTMLDefinition">
    <w:name w:val="HTML Definition"/>
    <w:basedOn w:val="DefaultParagraphFont"/>
    <w:semiHidden/>
    <w:rPr>
      <w:rFonts w:ascii="Times New Roman" w:hAnsi="Times New Roman" w:cs="Times New Roman"/>
      <w:i/>
      <w:iCs/>
    </w:rPr>
  </w:style>
  <w:style w:type="character" w:styleId="HTMLKeyboard">
    <w:name w:val="HTML Keyboard"/>
    <w:basedOn w:val="DefaultParagraphFont"/>
    <w:semiHidden/>
    <w:rPr>
      <w:rFonts w:ascii="Consolas" w:hAnsi="Consolas" w:cs="Consolas"/>
      <w:sz w:val="20"/>
      <w:szCs w:val="20"/>
    </w:rPr>
  </w:style>
  <w:style w:type="paragraph" w:styleId="HTMLPreformatted">
    <w:name w:val="HTML Preformatted"/>
    <w:basedOn w:val="Normal"/>
    <w:link w:val="HTMLPreformattedChar"/>
    <w:semiHidden/>
    <w:rPr>
      <w:sz w:val="20"/>
    </w:rPr>
  </w:style>
  <w:style w:type="character" w:customStyle="1" w:styleId="HTMLPreformattedChar">
    <w:name w:val="HTML Preformatted Char"/>
    <w:basedOn w:val="DefaultParagraphFont"/>
    <w:link w:val="HTMLPreformatted"/>
    <w:semiHidden/>
    <w:rPr>
      <w:rFonts w:ascii="Times New Roman" w:eastAsia="Times New Roman" w:hAnsi="Times New Roman" w:cs="Times New Roman"/>
      <w:sz w:val="20"/>
      <w:szCs w:val="20"/>
    </w:rPr>
  </w:style>
  <w:style w:type="character" w:styleId="HTMLSample">
    <w:name w:val="HTML Sample"/>
    <w:basedOn w:val="DefaultParagraphFont"/>
    <w:semiHidden/>
    <w:rPr>
      <w:rFonts w:ascii="Consolas" w:hAnsi="Consolas" w:cs="Consolas"/>
      <w:sz w:val="24"/>
      <w:szCs w:val="24"/>
    </w:rPr>
  </w:style>
  <w:style w:type="character" w:styleId="HTMLTypewriter">
    <w:name w:val="HTML Typewriter"/>
    <w:basedOn w:val="DefaultParagraphFont"/>
    <w:semiHidden/>
    <w:rPr>
      <w:rFonts w:ascii="Consolas" w:hAnsi="Consolas" w:cs="Consolas"/>
      <w:sz w:val="20"/>
      <w:szCs w:val="20"/>
    </w:rPr>
  </w:style>
  <w:style w:type="character" w:styleId="HTMLVariable">
    <w:name w:val="HTML Variable"/>
    <w:basedOn w:val="DefaultParagraphFont"/>
    <w:semiHidden/>
    <w:rPr>
      <w:rFonts w:ascii="Times New Roman" w:hAnsi="Times New Roman" w:cs="Times New Roman"/>
      <w:i/>
      <w:iCs/>
    </w:rPr>
  </w:style>
  <w:style w:type="character" w:styleId="Hyperlink">
    <w:name w:val="Hyperlink"/>
    <w:basedOn w:val="DefaultParagraphFont"/>
    <w:uiPriority w:val="99"/>
    <w:rPr>
      <w:rFonts w:ascii="Times New Roman" w:hAnsi="Times New Roman" w:cs="Times New Roman"/>
      <w:color w:val="E09E26" w:themeColor="hyperlink"/>
      <w:u w:val="single"/>
    </w:rPr>
  </w:style>
  <w:style w:type="paragraph" w:styleId="Index1">
    <w:name w:val="index 1"/>
    <w:basedOn w:val="Normal"/>
    <w:next w:val="Normal"/>
    <w:autoRedefine/>
    <w:semiHidden/>
    <w:pPr>
      <w:ind w:left="240" w:hanging="240"/>
      <w:jc w:val="both"/>
    </w:pPr>
  </w:style>
  <w:style w:type="paragraph" w:styleId="Index2">
    <w:name w:val="index 2"/>
    <w:basedOn w:val="Normal"/>
    <w:next w:val="Normal"/>
    <w:autoRedefine/>
    <w:semiHidden/>
    <w:pPr>
      <w:ind w:left="480" w:hanging="240"/>
      <w:jc w:val="both"/>
    </w:pPr>
  </w:style>
  <w:style w:type="paragraph" w:styleId="Index3">
    <w:name w:val="index 3"/>
    <w:basedOn w:val="Normal"/>
    <w:next w:val="Normal"/>
    <w:autoRedefine/>
    <w:semiHidden/>
    <w:pPr>
      <w:ind w:left="720" w:hanging="240"/>
      <w:jc w:val="both"/>
    </w:pPr>
  </w:style>
  <w:style w:type="paragraph" w:styleId="Index4">
    <w:name w:val="index 4"/>
    <w:basedOn w:val="Normal"/>
    <w:next w:val="Normal"/>
    <w:autoRedefine/>
    <w:semiHidden/>
    <w:pPr>
      <w:ind w:left="960" w:hanging="240"/>
      <w:jc w:val="both"/>
    </w:pPr>
  </w:style>
  <w:style w:type="paragraph" w:styleId="Index5">
    <w:name w:val="index 5"/>
    <w:basedOn w:val="Normal"/>
    <w:next w:val="Normal"/>
    <w:autoRedefine/>
    <w:semiHidden/>
    <w:pPr>
      <w:ind w:left="1200" w:hanging="240"/>
      <w:jc w:val="both"/>
    </w:pPr>
  </w:style>
  <w:style w:type="paragraph" w:styleId="Index6">
    <w:name w:val="index 6"/>
    <w:basedOn w:val="Normal"/>
    <w:next w:val="Normal"/>
    <w:autoRedefine/>
    <w:semiHidden/>
    <w:pPr>
      <w:ind w:left="1440" w:hanging="240"/>
      <w:jc w:val="both"/>
    </w:pPr>
  </w:style>
  <w:style w:type="paragraph" w:styleId="Index7">
    <w:name w:val="index 7"/>
    <w:basedOn w:val="Normal"/>
    <w:next w:val="Normal"/>
    <w:autoRedefine/>
    <w:semiHidden/>
    <w:pPr>
      <w:ind w:left="1680" w:hanging="240"/>
      <w:jc w:val="both"/>
    </w:pPr>
  </w:style>
  <w:style w:type="paragraph" w:styleId="Index8">
    <w:name w:val="index 8"/>
    <w:basedOn w:val="Normal"/>
    <w:next w:val="Normal"/>
    <w:autoRedefine/>
    <w:semiHidden/>
    <w:pPr>
      <w:ind w:left="1920" w:hanging="240"/>
      <w:jc w:val="both"/>
    </w:pPr>
  </w:style>
  <w:style w:type="paragraph" w:styleId="Index9">
    <w:name w:val="index 9"/>
    <w:basedOn w:val="Normal"/>
    <w:next w:val="Normal"/>
    <w:autoRedefine/>
    <w:semiHidden/>
    <w:pPr>
      <w:ind w:left="2160" w:hanging="245"/>
      <w:jc w:val="both"/>
    </w:pPr>
  </w:style>
  <w:style w:type="paragraph" w:styleId="IndexHeading">
    <w:name w:val="index heading"/>
    <w:basedOn w:val="Normal"/>
    <w:next w:val="Index1"/>
    <w:semiHidden/>
    <w:rPr>
      <w:rFonts w:eastAsiaTheme="majorEastAsia"/>
      <w:b/>
      <w:bCs/>
    </w:rPr>
  </w:style>
  <w:style w:type="character" w:styleId="IntenseEmphasis">
    <w:name w:val="Intense Emphasis"/>
    <w:basedOn w:val="DefaultParagraphFont"/>
    <w:uiPriority w:val="21"/>
    <w:semiHidden/>
    <w:rPr>
      <w:rFonts w:ascii="Times New Roman" w:hAnsi="Times New Roman" w:cs="Times New Roman"/>
      <w:b/>
      <w:bCs/>
      <w:i/>
      <w:iCs/>
      <w:color w:val="7BC143" w:themeColor="accent1"/>
    </w:rPr>
  </w:style>
  <w:style w:type="paragraph" w:styleId="IntenseQuote">
    <w:name w:val="Intense Quote"/>
    <w:basedOn w:val="Normal"/>
    <w:next w:val="Normal"/>
    <w:link w:val="IntenseQuoteChar"/>
    <w:uiPriority w:val="30"/>
    <w:semiHidden/>
    <w:pPr>
      <w:pBdr>
        <w:bottom w:val="single" w:sz="4" w:space="4" w:color="7BC143" w:themeColor="accent1"/>
      </w:pBdr>
      <w:spacing w:before="200" w:after="280"/>
      <w:ind w:left="936" w:right="936"/>
    </w:pPr>
    <w:rPr>
      <w:b/>
      <w:bCs/>
      <w:i/>
      <w:iCs/>
      <w:color w:val="7BC143" w:themeColor="accent1"/>
    </w:rPr>
  </w:style>
  <w:style w:type="character" w:customStyle="1" w:styleId="IntenseQuoteChar">
    <w:name w:val="Intense Quote Char"/>
    <w:basedOn w:val="DefaultParagraphFont"/>
    <w:link w:val="IntenseQuote"/>
    <w:uiPriority w:val="30"/>
    <w:semiHidden/>
    <w:rPr>
      <w:rFonts w:ascii="Times New Roman" w:eastAsia="Times New Roman" w:hAnsi="Times New Roman" w:cs="Times New Roman"/>
      <w:b/>
      <w:bCs/>
      <w:i/>
      <w:iCs/>
      <w:color w:val="7BC143"/>
      <w:sz w:val="24"/>
      <w:szCs w:val="20"/>
    </w:rPr>
  </w:style>
  <w:style w:type="character" w:styleId="IntenseReference">
    <w:name w:val="Intense Reference"/>
    <w:basedOn w:val="DefaultParagraphFont"/>
    <w:uiPriority w:val="32"/>
    <w:semiHidden/>
    <w:rPr>
      <w:rFonts w:ascii="Times New Roman" w:hAnsi="Times New Roman" w:cs="Times New Roman"/>
      <w:b/>
      <w:bCs/>
      <w:smallCaps/>
      <w:color w:val="4C9880" w:themeColor="accent2"/>
      <w:spacing w:val="5"/>
      <w:u w:val="single"/>
    </w:rPr>
  </w:style>
  <w:style w:type="table" w:styleId="LightGrid">
    <w:name w:val="Light Grid"/>
    <w:basedOn w:val="TableNormal"/>
    <w:uiPriority w:val="62"/>
    <w:semiHidden/>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tblPr>
      <w:tblStyleRowBandSize w:val="1"/>
      <w:tblStyleColBandSize w:val="1"/>
      <w:tblBorders>
        <w:top w:val="single" w:sz="8" w:space="0" w:color="7BC143" w:themeColor="accent1"/>
        <w:left w:val="single" w:sz="8" w:space="0" w:color="7BC143" w:themeColor="accent1"/>
        <w:bottom w:val="single" w:sz="8" w:space="0" w:color="7BC143" w:themeColor="accent1"/>
        <w:right w:val="single" w:sz="8" w:space="0" w:color="7BC143" w:themeColor="accent1"/>
        <w:insideH w:val="single" w:sz="8" w:space="0" w:color="7BC143" w:themeColor="accent1"/>
        <w:insideV w:val="single" w:sz="8" w:space="0" w:color="7BC143"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BC143" w:themeColor="accent1"/>
          <w:left w:val="single" w:sz="8" w:space="0" w:color="7BC143" w:themeColor="accent1"/>
          <w:bottom w:val="single" w:sz="18" w:space="0" w:color="7BC143" w:themeColor="accent1"/>
          <w:right w:val="single" w:sz="8" w:space="0" w:color="7BC143" w:themeColor="accent1"/>
          <w:insideH w:val="nil"/>
          <w:insideV w:val="single" w:sz="8" w:space="0" w:color="7BC143"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BC143" w:themeColor="accent1"/>
          <w:left w:val="single" w:sz="8" w:space="0" w:color="7BC143" w:themeColor="accent1"/>
          <w:bottom w:val="single" w:sz="8" w:space="0" w:color="7BC143" w:themeColor="accent1"/>
          <w:right w:val="single" w:sz="8" w:space="0" w:color="7BC143" w:themeColor="accent1"/>
          <w:insideH w:val="nil"/>
          <w:insideV w:val="single" w:sz="8" w:space="0" w:color="7BC143"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BC143" w:themeColor="accent1"/>
          <w:left w:val="single" w:sz="8" w:space="0" w:color="7BC143" w:themeColor="accent1"/>
          <w:bottom w:val="single" w:sz="8" w:space="0" w:color="7BC143" w:themeColor="accent1"/>
          <w:right w:val="single" w:sz="8" w:space="0" w:color="7BC143" w:themeColor="accent1"/>
        </w:tcBorders>
      </w:tcPr>
    </w:tblStylePr>
    <w:tblStylePr w:type="band1Vert">
      <w:tblPr/>
      <w:tcPr>
        <w:tcBorders>
          <w:top w:val="single" w:sz="8" w:space="0" w:color="7BC143" w:themeColor="accent1"/>
          <w:left w:val="single" w:sz="8" w:space="0" w:color="7BC143" w:themeColor="accent1"/>
          <w:bottom w:val="single" w:sz="8" w:space="0" w:color="7BC143" w:themeColor="accent1"/>
          <w:right w:val="single" w:sz="8" w:space="0" w:color="7BC143" w:themeColor="accent1"/>
        </w:tcBorders>
        <w:shd w:val="clear" w:color="auto" w:fill="DEEFD0" w:themeFill="accent1" w:themeFillTint="3F"/>
      </w:tcPr>
    </w:tblStylePr>
    <w:tblStylePr w:type="band1Horz">
      <w:tblPr/>
      <w:tcPr>
        <w:tcBorders>
          <w:top w:val="single" w:sz="8" w:space="0" w:color="7BC143" w:themeColor="accent1"/>
          <w:left w:val="single" w:sz="8" w:space="0" w:color="7BC143" w:themeColor="accent1"/>
          <w:bottom w:val="single" w:sz="8" w:space="0" w:color="7BC143" w:themeColor="accent1"/>
          <w:right w:val="single" w:sz="8" w:space="0" w:color="7BC143" w:themeColor="accent1"/>
          <w:insideV w:val="single" w:sz="8" w:space="0" w:color="7BC143" w:themeColor="accent1"/>
        </w:tcBorders>
        <w:shd w:val="clear" w:color="auto" w:fill="DEEFD0" w:themeFill="accent1" w:themeFillTint="3F"/>
      </w:tcPr>
    </w:tblStylePr>
    <w:tblStylePr w:type="band2Horz">
      <w:tblPr/>
      <w:tcPr>
        <w:tcBorders>
          <w:top w:val="single" w:sz="8" w:space="0" w:color="7BC143" w:themeColor="accent1"/>
          <w:left w:val="single" w:sz="8" w:space="0" w:color="7BC143" w:themeColor="accent1"/>
          <w:bottom w:val="single" w:sz="8" w:space="0" w:color="7BC143" w:themeColor="accent1"/>
          <w:right w:val="single" w:sz="8" w:space="0" w:color="7BC143" w:themeColor="accent1"/>
          <w:insideV w:val="single" w:sz="8" w:space="0" w:color="7BC143" w:themeColor="accent1"/>
        </w:tcBorders>
      </w:tcPr>
    </w:tblStylePr>
  </w:style>
  <w:style w:type="table" w:styleId="LightGrid-Accent2">
    <w:name w:val="Light Grid Accent 2"/>
    <w:basedOn w:val="TableNormal"/>
    <w:uiPriority w:val="62"/>
    <w:semiHidden/>
    <w:tblPr>
      <w:tblStyleRowBandSize w:val="1"/>
      <w:tblStyleColBandSize w:val="1"/>
      <w:tblBorders>
        <w:top w:val="single" w:sz="8" w:space="0" w:color="4C9880" w:themeColor="accent2"/>
        <w:left w:val="single" w:sz="8" w:space="0" w:color="4C9880" w:themeColor="accent2"/>
        <w:bottom w:val="single" w:sz="8" w:space="0" w:color="4C9880" w:themeColor="accent2"/>
        <w:right w:val="single" w:sz="8" w:space="0" w:color="4C9880" w:themeColor="accent2"/>
        <w:insideH w:val="single" w:sz="8" w:space="0" w:color="4C9880" w:themeColor="accent2"/>
        <w:insideV w:val="single" w:sz="8" w:space="0" w:color="4C988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C9880" w:themeColor="accent2"/>
          <w:left w:val="single" w:sz="8" w:space="0" w:color="4C9880" w:themeColor="accent2"/>
          <w:bottom w:val="single" w:sz="18" w:space="0" w:color="4C9880" w:themeColor="accent2"/>
          <w:right w:val="single" w:sz="8" w:space="0" w:color="4C9880" w:themeColor="accent2"/>
          <w:insideH w:val="nil"/>
          <w:insideV w:val="single" w:sz="8" w:space="0" w:color="4C988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C9880" w:themeColor="accent2"/>
          <w:left w:val="single" w:sz="8" w:space="0" w:color="4C9880" w:themeColor="accent2"/>
          <w:bottom w:val="single" w:sz="8" w:space="0" w:color="4C9880" w:themeColor="accent2"/>
          <w:right w:val="single" w:sz="8" w:space="0" w:color="4C9880" w:themeColor="accent2"/>
          <w:insideH w:val="nil"/>
          <w:insideV w:val="single" w:sz="8" w:space="0" w:color="4C988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C9880" w:themeColor="accent2"/>
          <w:left w:val="single" w:sz="8" w:space="0" w:color="4C9880" w:themeColor="accent2"/>
          <w:bottom w:val="single" w:sz="8" w:space="0" w:color="4C9880" w:themeColor="accent2"/>
          <w:right w:val="single" w:sz="8" w:space="0" w:color="4C9880" w:themeColor="accent2"/>
        </w:tcBorders>
      </w:tcPr>
    </w:tblStylePr>
    <w:tblStylePr w:type="band1Vert">
      <w:tblPr/>
      <w:tcPr>
        <w:tcBorders>
          <w:top w:val="single" w:sz="8" w:space="0" w:color="4C9880" w:themeColor="accent2"/>
          <w:left w:val="single" w:sz="8" w:space="0" w:color="4C9880" w:themeColor="accent2"/>
          <w:bottom w:val="single" w:sz="8" w:space="0" w:color="4C9880" w:themeColor="accent2"/>
          <w:right w:val="single" w:sz="8" w:space="0" w:color="4C9880" w:themeColor="accent2"/>
        </w:tcBorders>
        <w:shd w:val="clear" w:color="auto" w:fill="D0E7E0" w:themeFill="accent2" w:themeFillTint="3F"/>
      </w:tcPr>
    </w:tblStylePr>
    <w:tblStylePr w:type="band1Horz">
      <w:tblPr/>
      <w:tcPr>
        <w:tcBorders>
          <w:top w:val="single" w:sz="8" w:space="0" w:color="4C9880" w:themeColor="accent2"/>
          <w:left w:val="single" w:sz="8" w:space="0" w:color="4C9880" w:themeColor="accent2"/>
          <w:bottom w:val="single" w:sz="8" w:space="0" w:color="4C9880" w:themeColor="accent2"/>
          <w:right w:val="single" w:sz="8" w:space="0" w:color="4C9880" w:themeColor="accent2"/>
          <w:insideV w:val="single" w:sz="8" w:space="0" w:color="4C9880" w:themeColor="accent2"/>
        </w:tcBorders>
        <w:shd w:val="clear" w:color="auto" w:fill="D0E7E0" w:themeFill="accent2" w:themeFillTint="3F"/>
      </w:tcPr>
    </w:tblStylePr>
    <w:tblStylePr w:type="band2Horz">
      <w:tblPr/>
      <w:tcPr>
        <w:tcBorders>
          <w:top w:val="single" w:sz="8" w:space="0" w:color="4C9880" w:themeColor="accent2"/>
          <w:left w:val="single" w:sz="8" w:space="0" w:color="4C9880" w:themeColor="accent2"/>
          <w:bottom w:val="single" w:sz="8" w:space="0" w:color="4C9880" w:themeColor="accent2"/>
          <w:right w:val="single" w:sz="8" w:space="0" w:color="4C9880" w:themeColor="accent2"/>
          <w:insideV w:val="single" w:sz="8" w:space="0" w:color="4C9880" w:themeColor="accent2"/>
        </w:tcBorders>
      </w:tcPr>
    </w:tblStylePr>
  </w:style>
  <w:style w:type="table" w:styleId="LightGrid-Accent3">
    <w:name w:val="Light Grid Accent 3"/>
    <w:basedOn w:val="TableNormal"/>
    <w:uiPriority w:val="62"/>
    <w:semiHidden/>
    <w:tblPr>
      <w:tblStyleRowBandSize w:val="1"/>
      <w:tblStyleColBandSize w:val="1"/>
      <w:tblBorders>
        <w:top w:val="single" w:sz="8" w:space="0" w:color="DBD4BD" w:themeColor="accent3"/>
        <w:left w:val="single" w:sz="8" w:space="0" w:color="DBD4BD" w:themeColor="accent3"/>
        <w:bottom w:val="single" w:sz="8" w:space="0" w:color="DBD4BD" w:themeColor="accent3"/>
        <w:right w:val="single" w:sz="8" w:space="0" w:color="DBD4BD" w:themeColor="accent3"/>
        <w:insideH w:val="single" w:sz="8" w:space="0" w:color="DBD4BD" w:themeColor="accent3"/>
        <w:insideV w:val="single" w:sz="8" w:space="0" w:color="DBD4BD"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BD4BD" w:themeColor="accent3"/>
          <w:left w:val="single" w:sz="8" w:space="0" w:color="DBD4BD" w:themeColor="accent3"/>
          <w:bottom w:val="single" w:sz="18" w:space="0" w:color="DBD4BD" w:themeColor="accent3"/>
          <w:right w:val="single" w:sz="8" w:space="0" w:color="DBD4BD" w:themeColor="accent3"/>
          <w:insideH w:val="nil"/>
          <w:insideV w:val="single" w:sz="8" w:space="0" w:color="DBD4BD"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BD4BD" w:themeColor="accent3"/>
          <w:left w:val="single" w:sz="8" w:space="0" w:color="DBD4BD" w:themeColor="accent3"/>
          <w:bottom w:val="single" w:sz="8" w:space="0" w:color="DBD4BD" w:themeColor="accent3"/>
          <w:right w:val="single" w:sz="8" w:space="0" w:color="DBD4BD" w:themeColor="accent3"/>
          <w:insideH w:val="nil"/>
          <w:insideV w:val="single" w:sz="8" w:space="0" w:color="DBD4BD"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BD4BD" w:themeColor="accent3"/>
          <w:left w:val="single" w:sz="8" w:space="0" w:color="DBD4BD" w:themeColor="accent3"/>
          <w:bottom w:val="single" w:sz="8" w:space="0" w:color="DBD4BD" w:themeColor="accent3"/>
          <w:right w:val="single" w:sz="8" w:space="0" w:color="DBD4BD" w:themeColor="accent3"/>
        </w:tcBorders>
      </w:tcPr>
    </w:tblStylePr>
    <w:tblStylePr w:type="band1Vert">
      <w:tblPr/>
      <w:tcPr>
        <w:tcBorders>
          <w:top w:val="single" w:sz="8" w:space="0" w:color="DBD4BD" w:themeColor="accent3"/>
          <w:left w:val="single" w:sz="8" w:space="0" w:color="DBD4BD" w:themeColor="accent3"/>
          <w:bottom w:val="single" w:sz="8" w:space="0" w:color="DBD4BD" w:themeColor="accent3"/>
          <w:right w:val="single" w:sz="8" w:space="0" w:color="DBD4BD" w:themeColor="accent3"/>
        </w:tcBorders>
        <w:shd w:val="clear" w:color="auto" w:fill="F6F4EE" w:themeFill="accent3" w:themeFillTint="3F"/>
      </w:tcPr>
    </w:tblStylePr>
    <w:tblStylePr w:type="band1Horz">
      <w:tblPr/>
      <w:tcPr>
        <w:tcBorders>
          <w:top w:val="single" w:sz="8" w:space="0" w:color="DBD4BD" w:themeColor="accent3"/>
          <w:left w:val="single" w:sz="8" w:space="0" w:color="DBD4BD" w:themeColor="accent3"/>
          <w:bottom w:val="single" w:sz="8" w:space="0" w:color="DBD4BD" w:themeColor="accent3"/>
          <w:right w:val="single" w:sz="8" w:space="0" w:color="DBD4BD" w:themeColor="accent3"/>
          <w:insideV w:val="single" w:sz="8" w:space="0" w:color="DBD4BD" w:themeColor="accent3"/>
        </w:tcBorders>
        <w:shd w:val="clear" w:color="auto" w:fill="F6F4EE" w:themeFill="accent3" w:themeFillTint="3F"/>
      </w:tcPr>
    </w:tblStylePr>
    <w:tblStylePr w:type="band2Horz">
      <w:tblPr/>
      <w:tcPr>
        <w:tcBorders>
          <w:top w:val="single" w:sz="8" w:space="0" w:color="DBD4BD" w:themeColor="accent3"/>
          <w:left w:val="single" w:sz="8" w:space="0" w:color="DBD4BD" w:themeColor="accent3"/>
          <w:bottom w:val="single" w:sz="8" w:space="0" w:color="DBD4BD" w:themeColor="accent3"/>
          <w:right w:val="single" w:sz="8" w:space="0" w:color="DBD4BD" w:themeColor="accent3"/>
          <w:insideV w:val="single" w:sz="8" w:space="0" w:color="DBD4BD" w:themeColor="accent3"/>
        </w:tcBorders>
      </w:tcPr>
    </w:tblStylePr>
  </w:style>
  <w:style w:type="table" w:styleId="LightGrid-Accent4">
    <w:name w:val="Light Grid Accent 4"/>
    <w:basedOn w:val="TableNormal"/>
    <w:uiPriority w:val="62"/>
    <w:semiHidden/>
    <w:tblPr>
      <w:tblStyleRowBandSize w:val="1"/>
      <w:tblStyleColBandSize w:val="1"/>
      <w:tblBorders>
        <w:top w:val="single" w:sz="8" w:space="0" w:color="000000" w:themeColor="accent4"/>
        <w:left w:val="single" w:sz="8" w:space="0" w:color="000000" w:themeColor="accent4"/>
        <w:bottom w:val="single" w:sz="8" w:space="0" w:color="000000" w:themeColor="accent4"/>
        <w:right w:val="single" w:sz="8" w:space="0" w:color="000000" w:themeColor="accent4"/>
        <w:insideH w:val="single" w:sz="8" w:space="0" w:color="000000" w:themeColor="accent4"/>
        <w:insideV w:val="single" w:sz="8" w:space="0" w:color="000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4"/>
          <w:left w:val="single" w:sz="8" w:space="0" w:color="000000" w:themeColor="accent4"/>
          <w:bottom w:val="single" w:sz="18" w:space="0" w:color="000000" w:themeColor="accent4"/>
          <w:right w:val="single" w:sz="8" w:space="0" w:color="000000" w:themeColor="accent4"/>
          <w:insideH w:val="nil"/>
          <w:insideV w:val="single" w:sz="8" w:space="0" w:color="000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4"/>
          <w:left w:val="single" w:sz="8" w:space="0" w:color="000000" w:themeColor="accent4"/>
          <w:bottom w:val="single" w:sz="8" w:space="0" w:color="000000" w:themeColor="accent4"/>
          <w:right w:val="single" w:sz="8" w:space="0" w:color="000000" w:themeColor="accent4"/>
          <w:insideH w:val="nil"/>
          <w:insideV w:val="single" w:sz="8" w:space="0" w:color="000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4"/>
          <w:left w:val="single" w:sz="8" w:space="0" w:color="000000" w:themeColor="accent4"/>
          <w:bottom w:val="single" w:sz="8" w:space="0" w:color="000000" w:themeColor="accent4"/>
          <w:right w:val="single" w:sz="8" w:space="0" w:color="000000" w:themeColor="accent4"/>
        </w:tcBorders>
      </w:tcPr>
    </w:tblStylePr>
    <w:tblStylePr w:type="band1Vert">
      <w:tblPr/>
      <w:tcPr>
        <w:tcBorders>
          <w:top w:val="single" w:sz="8" w:space="0" w:color="000000" w:themeColor="accent4"/>
          <w:left w:val="single" w:sz="8" w:space="0" w:color="000000" w:themeColor="accent4"/>
          <w:bottom w:val="single" w:sz="8" w:space="0" w:color="000000" w:themeColor="accent4"/>
          <w:right w:val="single" w:sz="8" w:space="0" w:color="000000" w:themeColor="accent4"/>
        </w:tcBorders>
        <w:shd w:val="clear" w:color="auto" w:fill="C0C0C0" w:themeFill="accent4" w:themeFillTint="3F"/>
      </w:tcPr>
    </w:tblStylePr>
    <w:tblStylePr w:type="band1Horz">
      <w:tblPr/>
      <w:tcPr>
        <w:tcBorders>
          <w:top w:val="single" w:sz="8" w:space="0" w:color="000000" w:themeColor="accent4"/>
          <w:left w:val="single" w:sz="8" w:space="0" w:color="000000" w:themeColor="accent4"/>
          <w:bottom w:val="single" w:sz="8" w:space="0" w:color="000000" w:themeColor="accent4"/>
          <w:right w:val="single" w:sz="8" w:space="0" w:color="000000" w:themeColor="accent4"/>
          <w:insideV w:val="single" w:sz="8" w:space="0" w:color="000000" w:themeColor="accent4"/>
        </w:tcBorders>
        <w:shd w:val="clear" w:color="auto" w:fill="C0C0C0" w:themeFill="accent4" w:themeFillTint="3F"/>
      </w:tcPr>
    </w:tblStylePr>
    <w:tblStylePr w:type="band2Horz">
      <w:tblPr/>
      <w:tcPr>
        <w:tcBorders>
          <w:top w:val="single" w:sz="8" w:space="0" w:color="000000" w:themeColor="accent4"/>
          <w:left w:val="single" w:sz="8" w:space="0" w:color="000000" w:themeColor="accent4"/>
          <w:bottom w:val="single" w:sz="8" w:space="0" w:color="000000" w:themeColor="accent4"/>
          <w:right w:val="single" w:sz="8" w:space="0" w:color="000000" w:themeColor="accent4"/>
          <w:insideV w:val="single" w:sz="8" w:space="0" w:color="000000" w:themeColor="accent4"/>
        </w:tcBorders>
      </w:tcPr>
    </w:tblStylePr>
  </w:style>
  <w:style w:type="table" w:styleId="LightGrid-Accent5">
    <w:name w:val="Light Grid Accent 5"/>
    <w:basedOn w:val="TableNormal"/>
    <w:uiPriority w:val="62"/>
    <w:semiHidden/>
    <w:tblPr>
      <w:tblStyleRowBandSize w:val="1"/>
      <w:tblStyleColBandSize w:val="1"/>
      <w:tblBorders>
        <w:top w:val="single" w:sz="8" w:space="0" w:color="BFDDB0" w:themeColor="accent5"/>
        <w:left w:val="single" w:sz="8" w:space="0" w:color="BFDDB0" w:themeColor="accent5"/>
        <w:bottom w:val="single" w:sz="8" w:space="0" w:color="BFDDB0" w:themeColor="accent5"/>
        <w:right w:val="single" w:sz="8" w:space="0" w:color="BFDDB0" w:themeColor="accent5"/>
        <w:insideH w:val="single" w:sz="8" w:space="0" w:color="BFDDB0" w:themeColor="accent5"/>
        <w:insideV w:val="single" w:sz="8" w:space="0" w:color="BFDDB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DDB0" w:themeColor="accent5"/>
          <w:left w:val="single" w:sz="8" w:space="0" w:color="BFDDB0" w:themeColor="accent5"/>
          <w:bottom w:val="single" w:sz="18" w:space="0" w:color="BFDDB0" w:themeColor="accent5"/>
          <w:right w:val="single" w:sz="8" w:space="0" w:color="BFDDB0" w:themeColor="accent5"/>
          <w:insideH w:val="nil"/>
          <w:insideV w:val="single" w:sz="8" w:space="0" w:color="BFDDB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DDB0" w:themeColor="accent5"/>
          <w:left w:val="single" w:sz="8" w:space="0" w:color="BFDDB0" w:themeColor="accent5"/>
          <w:bottom w:val="single" w:sz="8" w:space="0" w:color="BFDDB0" w:themeColor="accent5"/>
          <w:right w:val="single" w:sz="8" w:space="0" w:color="BFDDB0" w:themeColor="accent5"/>
          <w:insideH w:val="nil"/>
          <w:insideV w:val="single" w:sz="8" w:space="0" w:color="BFDDB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DDB0" w:themeColor="accent5"/>
          <w:left w:val="single" w:sz="8" w:space="0" w:color="BFDDB0" w:themeColor="accent5"/>
          <w:bottom w:val="single" w:sz="8" w:space="0" w:color="BFDDB0" w:themeColor="accent5"/>
          <w:right w:val="single" w:sz="8" w:space="0" w:color="BFDDB0" w:themeColor="accent5"/>
        </w:tcBorders>
      </w:tcPr>
    </w:tblStylePr>
    <w:tblStylePr w:type="band1Vert">
      <w:tblPr/>
      <w:tcPr>
        <w:tcBorders>
          <w:top w:val="single" w:sz="8" w:space="0" w:color="BFDDB0" w:themeColor="accent5"/>
          <w:left w:val="single" w:sz="8" w:space="0" w:color="BFDDB0" w:themeColor="accent5"/>
          <w:bottom w:val="single" w:sz="8" w:space="0" w:color="BFDDB0" w:themeColor="accent5"/>
          <w:right w:val="single" w:sz="8" w:space="0" w:color="BFDDB0" w:themeColor="accent5"/>
        </w:tcBorders>
        <w:shd w:val="clear" w:color="auto" w:fill="EFF6EB" w:themeFill="accent5" w:themeFillTint="3F"/>
      </w:tcPr>
    </w:tblStylePr>
    <w:tblStylePr w:type="band1Horz">
      <w:tblPr/>
      <w:tcPr>
        <w:tcBorders>
          <w:top w:val="single" w:sz="8" w:space="0" w:color="BFDDB0" w:themeColor="accent5"/>
          <w:left w:val="single" w:sz="8" w:space="0" w:color="BFDDB0" w:themeColor="accent5"/>
          <w:bottom w:val="single" w:sz="8" w:space="0" w:color="BFDDB0" w:themeColor="accent5"/>
          <w:right w:val="single" w:sz="8" w:space="0" w:color="BFDDB0" w:themeColor="accent5"/>
          <w:insideV w:val="single" w:sz="8" w:space="0" w:color="BFDDB0" w:themeColor="accent5"/>
        </w:tcBorders>
        <w:shd w:val="clear" w:color="auto" w:fill="EFF6EB" w:themeFill="accent5" w:themeFillTint="3F"/>
      </w:tcPr>
    </w:tblStylePr>
    <w:tblStylePr w:type="band2Horz">
      <w:tblPr/>
      <w:tcPr>
        <w:tcBorders>
          <w:top w:val="single" w:sz="8" w:space="0" w:color="BFDDB0" w:themeColor="accent5"/>
          <w:left w:val="single" w:sz="8" w:space="0" w:color="BFDDB0" w:themeColor="accent5"/>
          <w:bottom w:val="single" w:sz="8" w:space="0" w:color="BFDDB0" w:themeColor="accent5"/>
          <w:right w:val="single" w:sz="8" w:space="0" w:color="BFDDB0" w:themeColor="accent5"/>
          <w:insideV w:val="single" w:sz="8" w:space="0" w:color="BFDDB0" w:themeColor="accent5"/>
        </w:tcBorders>
      </w:tcPr>
    </w:tblStylePr>
  </w:style>
  <w:style w:type="table" w:styleId="LightGrid-Accent6">
    <w:name w:val="Light Grid Accent 6"/>
    <w:basedOn w:val="TableNormal"/>
    <w:uiPriority w:val="62"/>
    <w:semiHidden/>
    <w:tblPr>
      <w:tblStyleRowBandSize w:val="1"/>
      <w:tblStyleColBandSize w:val="1"/>
      <w:tblBorders>
        <w:top w:val="single" w:sz="8" w:space="0" w:color="448973" w:themeColor="accent6"/>
        <w:left w:val="single" w:sz="8" w:space="0" w:color="448973" w:themeColor="accent6"/>
        <w:bottom w:val="single" w:sz="8" w:space="0" w:color="448973" w:themeColor="accent6"/>
        <w:right w:val="single" w:sz="8" w:space="0" w:color="448973" w:themeColor="accent6"/>
        <w:insideH w:val="single" w:sz="8" w:space="0" w:color="448973" w:themeColor="accent6"/>
        <w:insideV w:val="single" w:sz="8" w:space="0" w:color="448973"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8973" w:themeColor="accent6"/>
          <w:left w:val="single" w:sz="8" w:space="0" w:color="448973" w:themeColor="accent6"/>
          <w:bottom w:val="single" w:sz="18" w:space="0" w:color="448973" w:themeColor="accent6"/>
          <w:right w:val="single" w:sz="8" w:space="0" w:color="448973" w:themeColor="accent6"/>
          <w:insideH w:val="nil"/>
          <w:insideV w:val="single" w:sz="8" w:space="0" w:color="448973"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973" w:themeColor="accent6"/>
          <w:left w:val="single" w:sz="8" w:space="0" w:color="448973" w:themeColor="accent6"/>
          <w:bottom w:val="single" w:sz="8" w:space="0" w:color="448973" w:themeColor="accent6"/>
          <w:right w:val="single" w:sz="8" w:space="0" w:color="448973" w:themeColor="accent6"/>
          <w:insideH w:val="nil"/>
          <w:insideV w:val="single" w:sz="8" w:space="0" w:color="448973"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973" w:themeColor="accent6"/>
          <w:left w:val="single" w:sz="8" w:space="0" w:color="448973" w:themeColor="accent6"/>
          <w:bottom w:val="single" w:sz="8" w:space="0" w:color="448973" w:themeColor="accent6"/>
          <w:right w:val="single" w:sz="8" w:space="0" w:color="448973" w:themeColor="accent6"/>
        </w:tcBorders>
      </w:tcPr>
    </w:tblStylePr>
    <w:tblStylePr w:type="band1Vert">
      <w:tblPr/>
      <w:tcPr>
        <w:tcBorders>
          <w:top w:val="single" w:sz="8" w:space="0" w:color="448973" w:themeColor="accent6"/>
          <w:left w:val="single" w:sz="8" w:space="0" w:color="448973" w:themeColor="accent6"/>
          <w:bottom w:val="single" w:sz="8" w:space="0" w:color="448973" w:themeColor="accent6"/>
          <w:right w:val="single" w:sz="8" w:space="0" w:color="448973" w:themeColor="accent6"/>
        </w:tcBorders>
        <w:shd w:val="clear" w:color="auto" w:fill="CCE6DD" w:themeFill="accent6" w:themeFillTint="3F"/>
      </w:tcPr>
    </w:tblStylePr>
    <w:tblStylePr w:type="band1Horz">
      <w:tblPr/>
      <w:tcPr>
        <w:tcBorders>
          <w:top w:val="single" w:sz="8" w:space="0" w:color="448973" w:themeColor="accent6"/>
          <w:left w:val="single" w:sz="8" w:space="0" w:color="448973" w:themeColor="accent6"/>
          <w:bottom w:val="single" w:sz="8" w:space="0" w:color="448973" w:themeColor="accent6"/>
          <w:right w:val="single" w:sz="8" w:space="0" w:color="448973" w:themeColor="accent6"/>
          <w:insideV w:val="single" w:sz="8" w:space="0" w:color="448973" w:themeColor="accent6"/>
        </w:tcBorders>
        <w:shd w:val="clear" w:color="auto" w:fill="CCE6DD" w:themeFill="accent6" w:themeFillTint="3F"/>
      </w:tcPr>
    </w:tblStylePr>
    <w:tblStylePr w:type="band2Horz">
      <w:tblPr/>
      <w:tcPr>
        <w:tcBorders>
          <w:top w:val="single" w:sz="8" w:space="0" w:color="448973" w:themeColor="accent6"/>
          <w:left w:val="single" w:sz="8" w:space="0" w:color="448973" w:themeColor="accent6"/>
          <w:bottom w:val="single" w:sz="8" w:space="0" w:color="448973" w:themeColor="accent6"/>
          <w:right w:val="single" w:sz="8" w:space="0" w:color="448973" w:themeColor="accent6"/>
          <w:insideV w:val="single" w:sz="8" w:space="0" w:color="448973" w:themeColor="accent6"/>
        </w:tcBorders>
      </w:tcPr>
    </w:tblStylePr>
  </w:style>
  <w:style w:type="table" w:styleId="LightList">
    <w:name w:val="Light List"/>
    <w:basedOn w:val="TableNormal"/>
    <w:uiPriority w:val="61"/>
    <w:semiHidden/>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BDAF77"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tblPr>
      <w:tblStyleRowBandSize w:val="1"/>
      <w:tblStyleColBandSize w:val="1"/>
      <w:tblBorders>
        <w:top w:val="single" w:sz="8" w:space="0" w:color="7BC143" w:themeColor="accent1"/>
        <w:left w:val="single" w:sz="8" w:space="0" w:color="7BC143" w:themeColor="accent1"/>
        <w:bottom w:val="single" w:sz="8" w:space="0" w:color="7BC143" w:themeColor="accent1"/>
        <w:right w:val="single" w:sz="8" w:space="0" w:color="7BC143" w:themeColor="accent1"/>
      </w:tblBorders>
    </w:tblPr>
    <w:tblStylePr w:type="firstRow">
      <w:pPr>
        <w:spacing w:before="0" w:after="0" w:line="240" w:lineRule="auto"/>
      </w:pPr>
      <w:rPr>
        <w:b/>
        <w:bCs/>
        <w:color w:val="BDAF77" w:themeColor="background1"/>
      </w:rPr>
      <w:tblPr/>
      <w:tcPr>
        <w:shd w:val="clear" w:color="auto" w:fill="7BC143" w:themeFill="accent1"/>
      </w:tcPr>
    </w:tblStylePr>
    <w:tblStylePr w:type="lastRow">
      <w:pPr>
        <w:spacing w:before="0" w:after="0" w:line="240" w:lineRule="auto"/>
      </w:pPr>
      <w:rPr>
        <w:b/>
        <w:bCs/>
      </w:rPr>
      <w:tblPr/>
      <w:tcPr>
        <w:tcBorders>
          <w:top w:val="double" w:sz="6" w:space="0" w:color="7BC143" w:themeColor="accent1"/>
          <w:left w:val="single" w:sz="8" w:space="0" w:color="7BC143" w:themeColor="accent1"/>
          <w:bottom w:val="single" w:sz="8" w:space="0" w:color="7BC143" w:themeColor="accent1"/>
          <w:right w:val="single" w:sz="8" w:space="0" w:color="7BC143" w:themeColor="accent1"/>
        </w:tcBorders>
      </w:tcPr>
    </w:tblStylePr>
    <w:tblStylePr w:type="firstCol">
      <w:rPr>
        <w:b/>
        <w:bCs/>
      </w:rPr>
    </w:tblStylePr>
    <w:tblStylePr w:type="lastCol">
      <w:rPr>
        <w:b/>
        <w:bCs/>
      </w:rPr>
    </w:tblStylePr>
    <w:tblStylePr w:type="band1Vert">
      <w:tblPr/>
      <w:tcPr>
        <w:tcBorders>
          <w:top w:val="single" w:sz="8" w:space="0" w:color="7BC143" w:themeColor="accent1"/>
          <w:left w:val="single" w:sz="8" w:space="0" w:color="7BC143" w:themeColor="accent1"/>
          <w:bottom w:val="single" w:sz="8" w:space="0" w:color="7BC143" w:themeColor="accent1"/>
          <w:right w:val="single" w:sz="8" w:space="0" w:color="7BC143" w:themeColor="accent1"/>
        </w:tcBorders>
      </w:tcPr>
    </w:tblStylePr>
    <w:tblStylePr w:type="band1Horz">
      <w:tblPr/>
      <w:tcPr>
        <w:tcBorders>
          <w:top w:val="single" w:sz="8" w:space="0" w:color="7BC143" w:themeColor="accent1"/>
          <w:left w:val="single" w:sz="8" w:space="0" w:color="7BC143" w:themeColor="accent1"/>
          <w:bottom w:val="single" w:sz="8" w:space="0" w:color="7BC143" w:themeColor="accent1"/>
          <w:right w:val="single" w:sz="8" w:space="0" w:color="7BC143" w:themeColor="accent1"/>
        </w:tcBorders>
      </w:tcPr>
    </w:tblStylePr>
  </w:style>
  <w:style w:type="table" w:styleId="LightList-Accent2">
    <w:name w:val="Light List Accent 2"/>
    <w:basedOn w:val="TableNormal"/>
    <w:uiPriority w:val="61"/>
    <w:semiHidden/>
    <w:tblPr>
      <w:tblStyleRowBandSize w:val="1"/>
      <w:tblStyleColBandSize w:val="1"/>
      <w:tblBorders>
        <w:top w:val="single" w:sz="8" w:space="0" w:color="4C9880" w:themeColor="accent2"/>
        <w:left w:val="single" w:sz="8" w:space="0" w:color="4C9880" w:themeColor="accent2"/>
        <w:bottom w:val="single" w:sz="8" w:space="0" w:color="4C9880" w:themeColor="accent2"/>
        <w:right w:val="single" w:sz="8" w:space="0" w:color="4C9880" w:themeColor="accent2"/>
      </w:tblBorders>
    </w:tblPr>
    <w:tblStylePr w:type="firstRow">
      <w:pPr>
        <w:spacing w:before="0" w:after="0" w:line="240" w:lineRule="auto"/>
      </w:pPr>
      <w:rPr>
        <w:b/>
        <w:bCs/>
        <w:color w:val="BDAF77" w:themeColor="background1"/>
      </w:rPr>
      <w:tblPr/>
      <w:tcPr>
        <w:shd w:val="clear" w:color="auto" w:fill="4C9880" w:themeFill="accent2"/>
      </w:tcPr>
    </w:tblStylePr>
    <w:tblStylePr w:type="lastRow">
      <w:pPr>
        <w:spacing w:before="0" w:after="0" w:line="240" w:lineRule="auto"/>
      </w:pPr>
      <w:rPr>
        <w:b/>
        <w:bCs/>
      </w:rPr>
      <w:tblPr/>
      <w:tcPr>
        <w:tcBorders>
          <w:top w:val="double" w:sz="6" w:space="0" w:color="4C9880" w:themeColor="accent2"/>
          <w:left w:val="single" w:sz="8" w:space="0" w:color="4C9880" w:themeColor="accent2"/>
          <w:bottom w:val="single" w:sz="8" w:space="0" w:color="4C9880" w:themeColor="accent2"/>
          <w:right w:val="single" w:sz="8" w:space="0" w:color="4C9880" w:themeColor="accent2"/>
        </w:tcBorders>
      </w:tcPr>
    </w:tblStylePr>
    <w:tblStylePr w:type="firstCol">
      <w:rPr>
        <w:b/>
        <w:bCs/>
      </w:rPr>
    </w:tblStylePr>
    <w:tblStylePr w:type="lastCol">
      <w:rPr>
        <w:b/>
        <w:bCs/>
      </w:rPr>
    </w:tblStylePr>
    <w:tblStylePr w:type="band1Vert">
      <w:tblPr/>
      <w:tcPr>
        <w:tcBorders>
          <w:top w:val="single" w:sz="8" w:space="0" w:color="4C9880" w:themeColor="accent2"/>
          <w:left w:val="single" w:sz="8" w:space="0" w:color="4C9880" w:themeColor="accent2"/>
          <w:bottom w:val="single" w:sz="8" w:space="0" w:color="4C9880" w:themeColor="accent2"/>
          <w:right w:val="single" w:sz="8" w:space="0" w:color="4C9880" w:themeColor="accent2"/>
        </w:tcBorders>
      </w:tcPr>
    </w:tblStylePr>
    <w:tblStylePr w:type="band1Horz">
      <w:tblPr/>
      <w:tcPr>
        <w:tcBorders>
          <w:top w:val="single" w:sz="8" w:space="0" w:color="4C9880" w:themeColor="accent2"/>
          <w:left w:val="single" w:sz="8" w:space="0" w:color="4C9880" w:themeColor="accent2"/>
          <w:bottom w:val="single" w:sz="8" w:space="0" w:color="4C9880" w:themeColor="accent2"/>
          <w:right w:val="single" w:sz="8" w:space="0" w:color="4C9880" w:themeColor="accent2"/>
        </w:tcBorders>
      </w:tcPr>
    </w:tblStylePr>
  </w:style>
  <w:style w:type="table" w:styleId="LightList-Accent3">
    <w:name w:val="Light List Accent 3"/>
    <w:basedOn w:val="TableNormal"/>
    <w:uiPriority w:val="61"/>
    <w:semiHidden/>
    <w:tblPr>
      <w:tblStyleRowBandSize w:val="1"/>
      <w:tblStyleColBandSize w:val="1"/>
      <w:tblBorders>
        <w:top w:val="single" w:sz="8" w:space="0" w:color="DBD4BD" w:themeColor="accent3"/>
        <w:left w:val="single" w:sz="8" w:space="0" w:color="DBD4BD" w:themeColor="accent3"/>
        <w:bottom w:val="single" w:sz="8" w:space="0" w:color="DBD4BD" w:themeColor="accent3"/>
        <w:right w:val="single" w:sz="8" w:space="0" w:color="DBD4BD" w:themeColor="accent3"/>
      </w:tblBorders>
    </w:tblPr>
    <w:tblStylePr w:type="firstRow">
      <w:pPr>
        <w:spacing w:before="0" w:after="0" w:line="240" w:lineRule="auto"/>
      </w:pPr>
      <w:rPr>
        <w:b/>
        <w:bCs/>
        <w:color w:val="BDAF77" w:themeColor="background1"/>
      </w:rPr>
      <w:tblPr/>
      <w:tcPr>
        <w:shd w:val="clear" w:color="auto" w:fill="DBD4BD" w:themeFill="accent3"/>
      </w:tcPr>
    </w:tblStylePr>
    <w:tblStylePr w:type="lastRow">
      <w:pPr>
        <w:spacing w:before="0" w:after="0" w:line="240" w:lineRule="auto"/>
      </w:pPr>
      <w:rPr>
        <w:b/>
        <w:bCs/>
      </w:rPr>
      <w:tblPr/>
      <w:tcPr>
        <w:tcBorders>
          <w:top w:val="double" w:sz="6" w:space="0" w:color="DBD4BD" w:themeColor="accent3"/>
          <w:left w:val="single" w:sz="8" w:space="0" w:color="DBD4BD" w:themeColor="accent3"/>
          <w:bottom w:val="single" w:sz="8" w:space="0" w:color="DBD4BD" w:themeColor="accent3"/>
          <w:right w:val="single" w:sz="8" w:space="0" w:color="DBD4BD" w:themeColor="accent3"/>
        </w:tcBorders>
      </w:tcPr>
    </w:tblStylePr>
    <w:tblStylePr w:type="firstCol">
      <w:rPr>
        <w:b/>
        <w:bCs/>
      </w:rPr>
    </w:tblStylePr>
    <w:tblStylePr w:type="lastCol">
      <w:rPr>
        <w:b/>
        <w:bCs/>
      </w:rPr>
    </w:tblStylePr>
    <w:tblStylePr w:type="band1Vert">
      <w:tblPr/>
      <w:tcPr>
        <w:tcBorders>
          <w:top w:val="single" w:sz="8" w:space="0" w:color="DBD4BD" w:themeColor="accent3"/>
          <w:left w:val="single" w:sz="8" w:space="0" w:color="DBD4BD" w:themeColor="accent3"/>
          <w:bottom w:val="single" w:sz="8" w:space="0" w:color="DBD4BD" w:themeColor="accent3"/>
          <w:right w:val="single" w:sz="8" w:space="0" w:color="DBD4BD" w:themeColor="accent3"/>
        </w:tcBorders>
      </w:tcPr>
    </w:tblStylePr>
    <w:tblStylePr w:type="band1Horz">
      <w:tblPr/>
      <w:tcPr>
        <w:tcBorders>
          <w:top w:val="single" w:sz="8" w:space="0" w:color="DBD4BD" w:themeColor="accent3"/>
          <w:left w:val="single" w:sz="8" w:space="0" w:color="DBD4BD" w:themeColor="accent3"/>
          <w:bottom w:val="single" w:sz="8" w:space="0" w:color="DBD4BD" w:themeColor="accent3"/>
          <w:right w:val="single" w:sz="8" w:space="0" w:color="DBD4BD" w:themeColor="accent3"/>
        </w:tcBorders>
      </w:tcPr>
    </w:tblStylePr>
  </w:style>
  <w:style w:type="table" w:styleId="LightList-Accent4">
    <w:name w:val="Light List Accent 4"/>
    <w:basedOn w:val="TableNormal"/>
    <w:uiPriority w:val="61"/>
    <w:semiHidden/>
    <w:tblPr>
      <w:tblStyleRowBandSize w:val="1"/>
      <w:tblStyleColBandSize w:val="1"/>
      <w:tblBorders>
        <w:top w:val="single" w:sz="8" w:space="0" w:color="000000" w:themeColor="accent4"/>
        <w:left w:val="single" w:sz="8" w:space="0" w:color="000000" w:themeColor="accent4"/>
        <w:bottom w:val="single" w:sz="8" w:space="0" w:color="000000" w:themeColor="accent4"/>
        <w:right w:val="single" w:sz="8" w:space="0" w:color="000000" w:themeColor="accent4"/>
      </w:tblBorders>
    </w:tblPr>
    <w:tblStylePr w:type="firstRow">
      <w:pPr>
        <w:spacing w:before="0" w:after="0" w:line="240" w:lineRule="auto"/>
      </w:pPr>
      <w:rPr>
        <w:b/>
        <w:bCs/>
        <w:color w:val="BDAF77" w:themeColor="background1"/>
      </w:rPr>
      <w:tblPr/>
      <w:tcPr>
        <w:shd w:val="clear" w:color="auto" w:fill="000000" w:themeFill="accent4"/>
      </w:tcPr>
    </w:tblStylePr>
    <w:tblStylePr w:type="lastRow">
      <w:pPr>
        <w:spacing w:before="0" w:after="0" w:line="240" w:lineRule="auto"/>
      </w:pPr>
      <w:rPr>
        <w:b/>
        <w:bCs/>
      </w:rPr>
      <w:tblPr/>
      <w:tcPr>
        <w:tcBorders>
          <w:top w:val="double" w:sz="6" w:space="0" w:color="000000" w:themeColor="accent4"/>
          <w:left w:val="single" w:sz="8" w:space="0" w:color="000000" w:themeColor="accent4"/>
          <w:bottom w:val="single" w:sz="8" w:space="0" w:color="000000" w:themeColor="accent4"/>
          <w:right w:val="single" w:sz="8" w:space="0" w:color="000000" w:themeColor="accent4"/>
        </w:tcBorders>
      </w:tcPr>
    </w:tblStylePr>
    <w:tblStylePr w:type="firstCol">
      <w:rPr>
        <w:b/>
        <w:bCs/>
      </w:rPr>
    </w:tblStylePr>
    <w:tblStylePr w:type="lastCol">
      <w:rPr>
        <w:b/>
        <w:bCs/>
      </w:rPr>
    </w:tblStylePr>
    <w:tblStylePr w:type="band1Vert">
      <w:tblPr/>
      <w:tcPr>
        <w:tcBorders>
          <w:top w:val="single" w:sz="8" w:space="0" w:color="000000" w:themeColor="accent4"/>
          <w:left w:val="single" w:sz="8" w:space="0" w:color="000000" w:themeColor="accent4"/>
          <w:bottom w:val="single" w:sz="8" w:space="0" w:color="000000" w:themeColor="accent4"/>
          <w:right w:val="single" w:sz="8" w:space="0" w:color="000000" w:themeColor="accent4"/>
        </w:tcBorders>
      </w:tcPr>
    </w:tblStylePr>
    <w:tblStylePr w:type="band1Horz">
      <w:tblPr/>
      <w:tcPr>
        <w:tcBorders>
          <w:top w:val="single" w:sz="8" w:space="0" w:color="000000" w:themeColor="accent4"/>
          <w:left w:val="single" w:sz="8" w:space="0" w:color="000000" w:themeColor="accent4"/>
          <w:bottom w:val="single" w:sz="8" w:space="0" w:color="000000" w:themeColor="accent4"/>
          <w:right w:val="single" w:sz="8" w:space="0" w:color="000000" w:themeColor="accent4"/>
        </w:tcBorders>
      </w:tcPr>
    </w:tblStylePr>
  </w:style>
  <w:style w:type="table" w:styleId="LightList-Accent5">
    <w:name w:val="Light List Accent 5"/>
    <w:basedOn w:val="TableNormal"/>
    <w:uiPriority w:val="61"/>
    <w:semiHidden/>
    <w:tblPr>
      <w:tblStyleRowBandSize w:val="1"/>
      <w:tblStyleColBandSize w:val="1"/>
      <w:tblBorders>
        <w:top w:val="single" w:sz="8" w:space="0" w:color="BFDDB0" w:themeColor="accent5"/>
        <w:left w:val="single" w:sz="8" w:space="0" w:color="BFDDB0" w:themeColor="accent5"/>
        <w:bottom w:val="single" w:sz="8" w:space="0" w:color="BFDDB0" w:themeColor="accent5"/>
        <w:right w:val="single" w:sz="8" w:space="0" w:color="BFDDB0" w:themeColor="accent5"/>
      </w:tblBorders>
    </w:tblPr>
    <w:tblStylePr w:type="firstRow">
      <w:pPr>
        <w:spacing w:before="0" w:after="0" w:line="240" w:lineRule="auto"/>
      </w:pPr>
      <w:rPr>
        <w:b/>
        <w:bCs/>
        <w:color w:val="BDAF77" w:themeColor="background1"/>
      </w:rPr>
      <w:tblPr/>
      <w:tcPr>
        <w:shd w:val="clear" w:color="auto" w:fill="BFDDB0" w:themeFill="accent5"/>
      </w:tcPr>
    </w:tblStylePr>
    <w:tblStylePr w:type="lastRow">
      <w:pPr>
        <w:spacing w:before="0" w:after="0" w:line="240" w:lineRule="auto"/>
      </w:pPr>
      <w:rPr>
        <w:b/>
        <w:bCs/>
      </w:rPr>
      <w:tblPr/>
      <w:tcPr>
        <w:tcBorders>
          <w:top w:val="double" w:sz="6" w:space="0" w:color="BFDDB0" w:themeColor="accent5"/>
          <w:left w:val="single" w:sz="8" w:space="0" w:color="BFDDB0" w:themeColor="accent5"/>
          <w:bottom w:val="single" w:sz="8" w:space="0" w:color="BFDDB0" w:themeColor="accent5"/>
          <w:right w:val="single" w:sz="8" w:space="0" w:color="BFDDB0" w:themeColor="accent5"/>
        </w:tcBorders>
      </w:tcPr>
    </w:tblStylePr>
    <w:tblStylePr w:type="firstCol">
      <w:rPr>
        <w:b/>
        <w:bCs/>
      </w:rPr>
    </w:tblStylePr>
    <w:tblStylePr w:type="lastCol">
      <w:rPr>
        <w:b/>
        <w:bCs/>
      </w:rPr>
    </w:tblStylePr>
    <w:tblStylePr w:type="band1Vert">
      <w:tblPr/>
      <w:tcPr>
        <w:tcBorders>
          <w:top w:val="single" w:sz="8" w:space="0" w:color="BFDDB0" w:themeColor="accent5"/>
          <w:left w:val="single" w:sz="8" w:space="0" w:color="BFDDB0" w:themeColor="accent5"/>
          <w:bottom w:val="single" w:sz="8" w:space="0" w:color="BFDDB0" w:themeColor="accent5"/>
          <w:right w:val="single" w:sz="8" w:space="0" w:color="BFDDB0" w:themeColor="accent5"/>
        </w:tcBorders>
      </w:tcPr>
    </w:tblStylePr>
    <w:tblStylePr w:type="band1Horz">
      <w:tblPr/>
      <w:tcPr>
        <w:tcBorders>
          <w:top w:val="single" w:sz="8" w:space="0" w:color="BFDDB0" w:themeColor="accent5"/>
          <w:left w:val="single" w:sz="8" w:space="0" w:color="BFDDB0" w:themeColor="accent5"/>
          <w:bottom w:val="single" w:sz="8" w:space="0" w:color="BFDDB0" w:themeColor="accent5"/>
          <w:right w:val="single" w:sz="8" w:space="0" w:color="BFDDB0" w:themeColor="accent5"/>
        </w:tcBorders>
      </w:tcPr>
    </w:tblStylePr>
  </w:style>
  <w:style w:type="table" w:styleId="LightList-Accent6">
    <w:name w:val="Light List Accent 6"/>
    <w:basedOn w:val="TableNormal"/>
    <w:uiPriority w:val="61"/>
    <w:semiHidden/>
    <w:tblPr>
      <w:tblStyleRowBandSize w:val="1"/>
      <w:tblStyleColBandSize w:val="1"/>
      <w:tblBorders>
        <w:top w:val="single" w:sz="8" w:space="0" w:color="448973" w:themeColor="accent6"/>
        <w:left w:val="single" w:sz="8" w:space="0" w:color="448973" w:themeColor="accent6"/>
        <w:bottom w:val="single" w:sz="8" w:space="0" w:color="448973" w:themeColor="accent6"/>
        <w:right w:val="single" w:sz="8" w:space="0" w:color="448973" w:themeColor="accent6"/>
      </w:tblBorders>
    </w:tblPr>
    <w:tblStylePr w:type="firstRow">
      <w:pPr>
        <w:spacing w:before="0" w:after="0" w:line="240" w:lineRule="auto"/>
      </w:pPr>
      <w:rPr>
        <w:b/>
        <w:bCs/>
        <w:color w:val="BDAF77" w:themeColor="background1"/>
      </w:rPr>
      <w:tblPr/>
      <w:tcPr>
        <w:shd w:val="clear" w:color="auto" w:fill="448973" w:themeFill="accent6"/>
      </w:tcPr>
    </w:tblStylePr>
    <w:tblStylePr w:type="lastRow">
      <w:pPr>
        <w:spacing w:before="0" w:after="0" w:line="240" w:lineRule="auto"/>
      </w:pPr>
      <w:rPr>
        <w:b/>
        <w:bCs/>
      </w:rPr>
      <w:tblPr/>
      <w:tcPr>
        <w:tcBorders>
          <w:top w:val="double" w:sz="6" w:space="0" w:color="448973" w:themeColor="accent6"/>
          <w:left w:val="single" w:sz="8" w:space="0" w:color="448973" w:themeColor="accent6"/>
          <w:bottom w:val="single" w:sz="8" w:space="0" w:color="448973" w:themeColor="accent6"/>
          <w:right w:val="single" w:sz="8" w:space="0" w:color="448973" w:themeColor="accent6"/>
        </w:tcBorders>
      </w:tcPr>
    </w:tblStylePr>
    <w:tblStylePr w:type="firstCol">
      <w:rPr>
        <w:b/>
        <w:bCs/>
      </w:rPr>
    </w:tblStylePr>
    <w:tblStylePr w:type="lastCol">
      <w:rPr>
        <w:b/>
        <w:bCs/>
      </w:rPr>
    </w:tblStylePr>
    <w:tblStylePr w:type="band1Vert">
      <w:tblPr/>
      <w:tcPr>
        <w:tcBorders>
          <w:top w:val="single" w:sz="8" w:space="0" w:color="448973" w:themeColor="accent6"/>
          <w:left w:val="single" w:sz="8" w:space="0" w:color="448973" w:themeColor="accent6"/>
          <w:bottom w:val="single" w:sz="8" w:space="0" w:color="448973" w:themeColor="accent6"/>
          <w:right w:val="single" w:sz="8" w:space="0" w:color="448973" w:themeColor="accent6"/>
        </w:tcBorders>
      </w:tcPr>
    </w:tblStylePr>
    <w:tblStylePr w:type="band1Horz">
      <w:tblPr/>
      <w:tcPr>
        <w:tcBorders>
          <w:top w:val="single" w:sz="8" w:space="0" w:color="448973" w:themeColor="accent6"/>
          <w:left w:val="single" w:sz="8" w:space="0" w:color="448973" w:themeColor="accent6"/>
          <w:bottom w:val="single" w:sz="8" w:space="0" w:color="448973" w:themeColor="accent6"/>
          <w:right w:val="single" w:sz="8" w:space="0" w:color="448973" w:themeColor="accent6"/>
        </w:tcBorders>
      </w:tcPr>
    </w:tblStylePr>
  </w:style>
  <w:style w:type="table" w:styleId="LightShading">
    <w:name w:val="Light Shading"/>
    <w:basedOn w:val="TableNormal"/>
    <w:uiPriority w:val="60"/>
    <w:semiHidden/>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Pr>
      <w:color w:val="5B9230" w:themeColor="accent1" w:themeShade="BF"/>
    </w:rPr>
    <w:tblPr>
      <w:tblStyleRowBandSize w:val="1"/>
      <w:tblStyleColBandSize w:val="1"/>
      <w:tblBorders>
        <w:top w:val="single" w:sz="8" w:space="0" w:color="7BC143" w:themeColor="accent1"/>
        <w:bottom w:val="single" w:sz="8" w:space="0" w:color="7BC143" w:themeColor="accent1"/>
      </w:tblBorders>
    </w:tblPr>
    <w:tblStylePr w:type="firstRow">
      <w:pPr>
        <w:spacing w:before="0" w:after="0" w:line="240" w:lineRule="auto"/>
      </w:pPr>
      <w:rPr>
        <w:b/>
        <w:bCs/>
      </w:rPr>
      <w:tblPr/>
      <w:tcPr>
        <w:tcBorders>
          <w:top w:val="single" w:sz="8" w:space="0" w:color="7BC143" w:themeColor="accent1"/>
          <w:left w:val="nil"/>
          <w:bottom w:val="single" w:sz="8" w:space="0" w:color="7BC143" w:themeColor="accent1"/>
          <w:right w:val="nil"/>
          <w:insideH w:val="nil"/>
          <w:insideV w:val="nil"/>
        </w:tcBorders>
      </w:tcPr>
    </w:tblStylePr>
    <w:tblStylePr w:type="lastRow">
      <w:pPr>
        <w:spacing w:before="0" w:after="0" w:line="240" w:lineRule="auto"/>
      </w:pPr>
      <w:rPr>
        <w:b/>
        <w:bCs/>
      </w:rPr>
      <w:tblPr/>
      <w:tcPr>
        <w:tcBorders>
          <w:top w:val="single" w:sz="8" w:space="0" w:color="7BC143" w:themeColor="accent1"/>
          <w:left w:val="nil"/>
          <w:bottom w:val="single" w:sz="8" w:space="0" w:color="7BC14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EFD0" w:themeFill="accent1" w:themeFillTint="3F"/>
      </w:tcPr>
    </w:tblStylePr>
    <w:tblStylePr w:type="band1Horz">
      <w:tblPr/>
      <w:tcPr>
        <w:tcBorders>
          <w:left w:val="nil"/>
          <w:right w:val="nil"/>
          <w:insideH w:val="nil"/>
          <w:insideV w:val="nil"/>
        </w:tcBorders>
        <w:shd w:val="clear" w:color="auto" w:fill="DEEFD0" w:themeFill="accent1" w:themeFillTint="3F"/>
      </w:tcPr>
    </w:tblStylePr>
  </w:style>
  <w:style w:type="table" w:styleId="LightShading-Accent2">
    <w:name w:val="Light Shading Accent 2"/>
    <w:basedOn w:val="TableNormal"/>
    <w:uiPriority w:val="60"/>
    <w:semiHidden/>
    <w:rPr>
      <w:color w:val="39715F" w:themeColor="accent2" w:themeShade="BF"/>
    </w:rPr>
    <w:tblPr>
      <w:tblStyleRowBandSize w:val="1"/>
      <w:tblStyleColBandSize w:val="1"/>
      <w:tblBorders>
        <w:top w:val="single" w:sz="8" w:space="0" w:color="4C9880" w:themeColor="accent2"/>
        <w:bottom w:val="single" w:sz="8" w:space="0" w:color="4C9880" w:themeColor="accent2"/>
      </w:tblBorders>
    </w:tblPr>
    <w:tblStylePr w:type="firstRow">
      <w:pPr>
        <w:spacing w:before="0" w:after="0" w:line="240" w:lineRule="auto"/>
      </w:pPr>
      <w:rPr>
        <w:b/>
        <w:bCs/>
      </w:rPr>
      <w:tblPr/>
      <w:tcPr>
        <w:tcBorders>
          <w:top w:val="single" w:sz="8" w:space="0" w:color="4C9880" w:themeColor="accent2"/>
          <w:left w:val="nil"/>
          <w:bottom w:val="single" w:sz="8" w:space="0" w:color="4C9880" w:themeColor="accent2"/>
          <w:right w:val="nil"/>
          <w:insideH w:val="nil"/>
          <w:insideV w:val="nil"/>
        </w:tcBorders>
      </w:tcPr>
    </w:tblStylePr>
    <w:tblStylePr w:type="lastRow">
      <w:pPr>
        <w:spacing w:before="0" w:after="0" w:line="240" w:lineRule="auto"/>
      </w:pPr>
      <w:rPr>
        <w:b/>
        <w:bCs/>
      </w:rPr>
      <w:tblPr/>
      <w:tcPr>
        <w:tcBorders>
          <w:top w:val="single" w:sz="8" w:space="0" w:color="4C9880" w:themeColor="accent2"/>
          <w:left w:val="nil"/>
          <w:bottom w:val="single" w:sz="8" w:space="0" w:color="4C988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7E0" w:themeFill="accent2" w:themeFillTint="3F"/>
      </w:tcPr>
    </w:tblStylePr>
    <w:tblStylePr w:type="band1Horz">
      <w:tblPr/>
      <w:tcPr>
        <w:tcBorders>
          <w:left w:val="nil"/>
          <w:right w:val="nil"/>
          <w:insideH w:val="nil"/>
          <w:insideV w:val="nil"/>
        </w:tcBorders>
        <w:shd w:val="clear" w:color="auto" w:fill="D0E7E0" w:themeFill="accent2" w:themeFillTint="3F"/>
      </w:tcPr>
    </w:tblStylePr>
  </w:style>
  <w:style w:type="table" w:styleId="LightShading-Accent3">
    <w:name w:val="Light Shading Accent 3"/>
    <w:basedOn w:val="TableNormal"/>
    <w:uiPriority w:val="60"/>
    <w:semiHidden/>
    <w:rPr>
      <w:color w:val="B6A87A" w:themeColor="accent3" w:themeShade="BF"/>
    </w:rPr>
    <w:tblPr>
      <w:tblStyleRowBandSize w:val="1"/>
      <w:tblStyleColBandSize w:val="1"/>
      <w:tblBorders>
        <w:top w:val="single" w:sz="8" w:space="0" w:color="DBD4BD" w:themeColor="accent3"/>
        <w:bottom w:val="single" w:sz="8" w:space="0" w:color="DBD4BD" w:themeColor="accent3"/>
      </w:tblBorders>
    </w:tblPr>
    <w:tblStylePr w:type="firstRow">
      <w:pPr>
        <w:spacing w:before="0" w:after="0" w:line="240" w:lineRule="auto"/>
      </w:pPr>
      <w:rPr>
        <w:b/>
        <w:bCs/>
      </w:rPr>
      <w:tblPr/>
      <w:tcPr>
        <w:tcBorders>
          <w:top w:val="single" w:sz="8" w:space="0" w:color="DBD4BD" w:themeColor="accent3"/>
          <w:left w:val="nil"/>
          <w:bottom w:val="single" w:sz="8" w:space="0" w:color="DBD4BD" w:themeColor="accent3"/>
          <w:right w:val="nil"/>
          <w:insideH w:val="nil"/>
          <w:insideV w:val="nil"/>
        </w:tcBorders>
      </w:tcPr>
    </w:tblStylePr>
    <w:tblStylePr w:type="lastRow">
      <w:pPr>
        <w:spacing w:before="0" w:after="0" w:line="240" w:lineRule="auto"/>
      </w:pPr>
      <w:rPr>
        <w:b/>
        <w:bCs/>
      </w:rPr>
      <w:tblPr/>
      <w:tcPr>
        <w:tcBorders>
          <w:top w:val="single" w:sz="8" w:space="0" w:color="DBD4BD" w:themeColor="accent3"/>
          <w:left w:val="nil"/>
          <w:bottom w:val="single" w:sz="8" w:space="0" w:color="DBD4BD"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4EE" w:themeFill="accent3" w:themeFillTint="3F"/>
      </w:tcPr>
    </w:tblStylePr>
    <w:tblStylePr w:type="band1Horz">
      <w:tblPr/>
      <w:tcPr>
        <w:tcBorders>
          <w:left w:val="nil"/>
          <w:right w:val="nil"/>
          <w:insideH w:val="nil"/>
          <w:insideV w:val="nil"/>
        </w:tcBorders>
        <w:shd w:val="clear" w:color="auto" w:fill="F6F4EE" w:themeFill="accent3" w:themeFillTint="3F"/>
      </w:tcPr>
    </w:tblStylePr>
  </w:style>
  <w:style w:type="table" w:styleId="LightShading-Accent4">
    <w:name w:val="Light Shading Accent 4"/>
    <w:basedOn w:val="TableNormal"/>
    <w:uiPriority w:val="60"/>
    <w:semiHidden/>
    <w:rPr>
      <w:color w:val="000000" w:themeColor="accent4" w:themeShade="BF"/>
    </w:rPr>
    <w:tblPr>
      <w:tblStyleRowBandSize w:val="1"/>
      <w:tblStyleColBandSize w:val="1"/>
      <w:tblBorders>
        <w:top w:val="single" w:sz="8" w:space="0" w:color="000000" w:themeColor="accent4"/>
        <w:bottom w:val="single" w:sz="8" w:space="0" w:color="000000" w:themeColor="accent4"/>
      </w:tblBorders>
    </w:tblPr>
    <w:tblStylePr w:type="firstRow">
      <w:pPr>
        <w:spacing w:before="0" w:after="0" w:line="240" w:lineRule="auto"/>
      </w:pPr>
      <w:rPr>
        <w:b/>
        <w:bCs/>
      </w:rPr>
      <w:tblPr/>
      <w:tcPr>
        <w:tcBorders>
          <w:top w:val="single" w:sz="8" w:space="0" w:color="000000" w:themeColor="accent4"/>
          <w:left w:val="nil"/>
          <w:bottom w:val="single" w:sz="8" w:space="0" w:color="000000" w:themeColor="accent4"/>
          <w:right w:val="nil"/>
          <w:insideH w:val="nil"/>
          <w:insideV w:val="nil"/>
        </w:tcBorders>
      </w:tcPr>
    </w:tblStylePr>
    <w:tblStylePr w:type="lastRow">
      <w:pPr>
        <w:spacing w:before="0" w:after="0" w:line="240" w:lineRule="auto"/>
      </w:pPr>
      <w:rPr>
        <w:b/>
        <w:bCs/>
      </w:rPr>
      <w:tblPr/>
      <w:tcPr>
        <w:tcBorders>
          <w:top w:val="single" w:sz="8" w:space="0" w:color="000000" w:themeColor="accent4"/>
          <w:left w:val="nil"/>
          <w:bottom w:val="single" w:sz="8" w:space="0" w:color="000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4" w:themeFillTint="3F"/>
      </w:tcPr>
    </w:tblStylePr>
    <w:tblStylePr w:type="band1Horz">
      <w:tblPr/>
      <w:tcPr>
        <w:tcBorders>
          <w:left w:val="nil"/>
          <w:right w:val="nil"/>
          <w:insideH w:val="nil"/>
          <w:insideV w:val="nil"/>
        </w:tcBorders>
        <w:shd w:val="clear" w:color="auto" w:fill="C0C0C0" w:themeFill="accent4" w:themeFillTint="3F"/>
      </w:tcPr>
    </w:tblStylePr>
  </w:style>
  <w:style w:type="table" w:styleId="LightShading-Accent5">
    <w:name w:val="Light Shading Accent 5"/>
    <w:basedOn w:val="TableNormal"/>
    <w:uiPriority w:val="60"/>
    <w:semiHidden/>
    <w:rPr>
      <w:color w:val="86BF6A" w:themeColor="accent5" w:themeShade="BF"/>
    </w:rPr>
    <w:tblPr>
      <w:tblStyleRowBandSize w:val="1"/>
      <w:tblStyleColBandSize w:val="1"/>
      <w:tblBorders>
        <w:top w:val="single" w:sz="8" w:space="0" w:color="BFDDB0" w:themeColor="accent5"/>
        <w:bottom w:val="single" w:sz="8" w:space="0" w:color="BFDDB0" w:themeColor="accent5"/>
      </w:tblBorders>
    </w:tblPr>
    <w:tblStylePr w:type="firstRow">
      <w:pPr>
        <w:spacing w:before="0" w:after="0" w:line="240" w:lineRule="auto"/>
      </w:pPr>
      <w:rPr>
        <w:b/>
        <w:bCs/>
      </w:rPr>
      <w:tblPr/>
      <w:tcPr>
        <w:tcBorders>
          <w:top w:val="single" w:sz="8" w:space="0" w:color="BFDDB0" w:themeColor="accent5"/>
          <w:left w:val="nil"/>
          <w:bottom w:val="single" w:sz="8" w:space="0" w:color="BFDDB0" w:themeColor="accent5"/>
          <w:right w:val="nil"/>
          <w:insideH w:val="nil"/>
          <w:insideV w:val="nil"/>
        </w:tcBorders>
      </w:tcPr>
    </w:tblStylePr>
    <w:tblStylePr w:type="lastRow">
      <w:pPr>
        <w:spacing w:before="0" w:after="0" w:line="240" w:lineRule="auto"/>
      </w:pPr>
      <w:rPr>
        <w:b/>
        <w:bCs/>
      </w:rPr>
      <w:tblPr/>
      <w:tcPr>
        <w:tcBorders>
          <w:top w:val="single" w:sz="8" w:space="0" w:color="BFDDB0" w:themeColor="accent5"/>
          <w:left w:val="nil"/>
          <w:bottom w:val="single" w:sz="8" w:space="0" w:color="BFDDB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6EB" w:themeFill="accent5" w:themeFillTint="3F"/>
      </w:tcPr>
    </w:tblStylePr>
    <w:tblStylePr w:type="band1Horz">
      <w:tblPr/>
      <w:tcPr>
        <w:tcBorders>
          <w:left w:val="nil"/>
          <w:right w:val="nil"/>
          <w:insideH w:val="nil"/>
          <w:insideV w:val="nil"/>
        </w:tcBorders>
        <w:shd w:val="clear" w:color="auto" w:fill="EFF6EB" w:themeFill="accent5" w:themeFillTint="3F"/>
      </w:tcPr>
    </w:tblStylePr>
  </w:style>
  <w:style w:type="table" w:styleId="LightShading-Accent6">
    <w:name w:val="Light Shading Accent 6"/>
    <w:basedOn w:val="TableNormal"/>
    <w:uiPriority w:val="60"/>
    <w:semiHidden/>
    <w:rPr>
      <w:color w:val="336655" w:themeColor="accent6" w:themeShade="BF"/>
    </w:rPr>
    <w:tblPr>
      <w:tblStyleRowBandSize w:val="1"/>
      <w:tblStyleColBandSize w:val="1"/>
      <w:tblBorders>
        <w:top w:val="single" w:sz="8" w:space="0" w:color="448973" w:themeColor="accent6"/>
        <w:bottom w:val="single" w:sz="8" w:space="0" w:color="448973" w:themeColor="accent6"/>
      </w:tblBorders>
    </w:tblPr>
    <w:tblStylePr w:type="firstRow">
      <w:pPr>
        <w:spacing w:before="0" w:after="0" w:line="240" w:lineRule="auto"/>
      </w:pPr>
      <w:rPr>
        <w:b/>
        <w:bCs/>
      </w:rPr>
      <w:tblPr/>
      <w:tcPr>
        <w:tcBorders>
          <w:top w:val="single" w:sz="8" w:space="0" w:color="448973" w:themeColor="accent6"/>
          <w:left w:val="nil"/>
          <w:bottom w:val="single" w:sz="8" w:space="0" w:color="448973" w:themeColor="accent6"/>
          <w:right w:val="nil"/>
          <w:insideH w:val="nil"/>
          <w:insideV w:val="nil"/>
        </w:tcBorders>
      </w:tcPr>
    </w:tblStylePr>
    <w:tblStylePr w:type="lastRow">
      <w:pPr>
        <w:spacing w:before="0" w:after="0" w:line="240" w:lineRule="auto"/>
      </w:pPr>
      <w:rPr>
        <w:b/>
        <w:bCs/>
      </w:rPr>
      <w:tblPr/>
      <w:tcPr>
        <w:tcBorders>
          <w:top w:val="single" w:sz="8" w:space="0" w:color="448973" w:themeColor="accent6"/>
          <w:left w:val="nil"/>
          <w:bottom w:val="single" w:sz="8" w:space="0" w:color="448973"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DD" w:themeFill="accent6" w:themeFillTint="3F"/>
      </w:tcPr>
    </w:tblStylePr>
    <w:tblStylePr w:type="band1Horz">
      <w:tblPr/>
      <w:tcPr>
        <w:tcBorders>
          <w:left w:val="nil"/>
          <w:right w:val="nil"/>
          <w:insideH w:val="nil"/>
          <w:insideV w:val="nil"/>
        </w:tcBorders>
        <w:shd w:val="clear" w:color="auto" w:fill="CCE6DD" w:themeFill="accent6" w:themeFillTint="3F"/>
      </w:tcPr>
    </w:tblStylePr>
  </w:style>
  <w:style w:type="character" w:styleId="LineNumber">
    <w:name w:val="line number"/>
    <w:basedOn w:val="DefaultParagraphFont"/>
    <w:semiHidden/>
    <w:rPr>
      <w:rFonts w:ascii="Times New Roman" w:hAnsi="Times New Roman" w:cs="Times New Roman"/>
    </w:rPr>
  </w:style>
  <w:style w:type="paragraph" w:styleId="List">
    <w:name w:val="List"/>
    <w:basedOn w:val="Normal"/>
    <w:semiHidden/>
    <w:pPr>
      <w:ind w:left="360" w:hanging="360"/>
      <w:contextualSpacing/>
    </w:pPr>
  </w:style>
  <w:style w:type="paragraph" w:styleId="List2">
    <w:name w:val="List 2"/>
    <w:basedOn w:val="Normal"/>
    <w:semiHidden/>
    <w:pPr>
      <w:ind w:left="720" w:hanging="360"/>
      <w:contextualSpacing/>
    </w:pPr>
  </w:style>
  <w:style w:type="paragraph" w:styleId="List3">
    <w:name w:val="List 3"/>
    <w:basedOn w:val="Normal"/>
    <w:semiHidden/>
    <w:pPr>
      <w:ind w:left="1080" w:hanging="360"/>
      <w:contextualSpacing/>
    </w:pPr>
  </w:style>
  <w:style w:type="paragraph" w:styleId="List4">
    <w:name w:val="List 4"/>
    <w:basedOn w:val="Normal"/>
    <w:semiHidden/>
    <w:pPr>
      <w:ind w:left="1440" w:hanging="360"/>
      <w:contextualSpacing/>
    </w:pPr>
  </w:style>
  <w:style w:type="paragraph" w:styleId="List5">
    <w:name w:val="List 5"/>
    <w:basedOn w:val="Normal"/>
    <w:semiHidden/>
    <w:pPr>
      <w:ind w:left="1800" w:hanging="360"/>
      <w:contextualSpacing/>
    </w:pPr>
  </w:style>
  <w:style w:type="paragraph" w:styleId="ListBullet4">
    <w:name w:val="List Bullet 4"/>
    <w:basedOn w:val="Normal"/>
    <w:semiHidden/>
    <w:pPr>
      <w:numPr>
        <w:numId w:val="6"/>
      </w:numPr>
      <w:spacing w:before="240"/>
      <w:contextualSpacing/>
    </w:pPr>
  </w:style>
  <w:style w:type="paragraph" w:styleId="ListBullet5">
    <w:name w:val="List Bullet 5"/>
    <w:basedOn w:val="Normal"/>
    <w:semiHidden/>
    <w:pPr>
      <w:numPr>
        <w:numId w:val="7"/>
      </w:numPr>
      <w:spacing w:before="240"/>
      <w:contextualSpacing/>
    </w:pPr>
  </w:style>
  <w:style w:type="paragraph" w:styleId="ListContinue">
    <w:name w:val="List Continue"/>
    <w:basedOn w:val="Normal"/>
    <w:semiHidden/>
    <w:pPr>
      <w:spacing w:after="120"/>
      <w:ind w:left="360"/>
      <w:contextualSpacing/>
    </w:pPr>
  </w:style>
  <w:style w:type="paragraph" w:styleId="ListContinue2">
    <w:name w:val="List Continue 2"/>
    <w:basedOn w:val="Normal"/>
    <w:semiHidden/>
    <w:pPr>
      <w:spacing w:after="120"/>
      <w:ind w:left="720"/>
      <w:contextualSpacing/>
    </w:pPr>
  </w:style>
  <w:style w:type="paragraph" w:styleId="ListContinue3">
    <w:name w:val="List Continue 3"/>
    <w:basedOn w:val="Normal"/>
    <w:semiHidden/>
    <w:pPr>
      <w:spacing w:after="120"/>
      <w:ind w:left="1080"/>
      <w:contextualSpacing/>
    </w:pPr>
  </w:style>
  <w:style w:type="paragraph" w:styleId="ListContinue4">
    <w:name w:val="List Continue 4"/>
    <w:basedOn w:val="Normal"/>
    <w:semiHidden/>
    <w:pPr>
      <w:spacing w:after="120"/>
      <w:ind w:left="1440"/>
      <w:contextualSpacing/>
    </w:pPr>
  </w:style>
  <w:style w:type="paragraph" w:styleId="ListContinue5">
    <w:name w:val="List Continue 5"/>
    <w:basedOn w:val="Normal"/>
    <w:semiHidden/>
    <w:pPr>
      <w:spacing w:after="120"/>
      <w:ind w:left="1800"/>
      <w:contextualSpacing/>
    </w:pPr>
  </w:style>
  <w:style w:type="paragraph" w:styleId="ListNumber4">
    <w:name w:val="List Number 4"/>
    <w:basedOn w:val="Normal"/>
    <w:semiHidden/>
    <w:pPr>
      <w:numPr>
        <w:numId w:val="8"/>
      </w:numPr>
      <w:spacing w:before="240"/>
      <w:contextualSpacing/>
    </w:pPr>
  </w:style>
  <w:style w:type="paragraph" w:styleId="ListNumber5">
    <w:name w:val="List Number 5"/>
    <w:basedOn w:val="Normal"/>
    <w:semiHidden/>
    <w:pPr>
      <w:numPr>
        <w:numId w:val="9"/>
      </w:numPr>
      <w:spacing w:before="240"/>
      <w:contextualSpacing/>
    </w:pPr>
  </w:style>
  <w:style w:type="paragraph" w:styleId="ListParagraph">
    <w:name w:val="List Paragraph"/>
    <w:basedOn w:val="Normal"/>
    <w:uiPriority w:val="34"/>
    <w:semiHidden/>
    <w:pPr>
      <w:ind w:left="720"/>
      <w:contextualSpacing/>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eastAsia="Times New Roman"/>
      <w:sz w:val="20"/>
      <w:szCs w:val="20"/>
    </w:rPr>
  </w:style>
  <w:style w:type="character" w:customStyle="1" w:styleId="MacroTextChar">
    <w:name w:val="Macro Text Char"/>
    <w:basedOn w:val="DefaultParagraphFont"/>
    <w:link w:val="MacroText"/>
    <w:semiHidden/>
    <w:rPr>
      <w:rFonts w:ascii="Times New Roman" w:eastAsia="Times New Roman" w:hAnsi="Times New Roman" w:cs="Times New Roman"/>
      <w:sz w:val="20"/>
      <w:szCs w:val="20"/>
    </w:rPr>
  </w:style>
  <w:style w:type="table" w:styleId="MediumGrid1">
    <w:name w:val="Medium Grid 1"/>
    <w:basedOn w:val="TableNormal"/>
    <w:uiPriority w:val="67"/>
    <w:semiHidden/>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tblPr>
      <w:tblStyleRowBandSize w:val="1"/>
      <w:tblStyleColBandSize w:val="1"/>
      <w:tblBorders>
        <w:top w:val="single" w:sz="8" w:space="0" w:color="9BD072" w:themeColor="accent1" w:themeTint="BF"/>
        <w:left w:val="single" w:sz="8" w:space="0" w:color="9BD072" w:themeColor="accent1" w:themeTint="BF"/>
        <w:bottom w:val="single" w:sz="8" w:space="0" w:color="9BD072" w:themeColor="accent1" w:themeTint="BF"/>
        <w:right w:val="single" w:sz="8" w:space="0" w:color="9BD072" w:themeColor="accent1" w:themeTint="BF"/>
        <w:insideH w:val="single" w:sz="8" w:space="0" w:color="9BD072" w:themeColor="accent1" w:themeTint="BF"/>
        <w:insideV w:val="single" w:sz="8" w:space="0" w:color="9BD072" w:themeColor="accent1" w:themeTint="BF"/>
      </w:tblBorders>
    </w:tblPr>
    <w:tcPr>
      <w:shd w:val="clear" w:color="auto" w:fill="DEEFD0" w:themeFill="accent1" w:themeFillTint="3F"/>
    </w:tcPr>
    <w:tblStylePr w:type="firstRow">
      <w:rPr>
        <w:b/>
        <w:bCs/>
      </w:rPr>
    </w:tblStylePr>
    <w:tblStylePr w:type="lastRow">
      <w:rPr>
        <w:b/>
        <w:bCs/>
      </w:rPr>
      <w:tblPr/>
      <w:tcPr>
        <w:tcBorders>
          <w:top w:val="single" w:sz="18" w:space="0" w:color="9BD072" w:themeColor="accent1" w:themeTint="BF"/>
        </w:tcBorders>
      </w:tcPr>
    </w:tblStylePr>
    <w:tblStylePr w:type="firstCol">
      <w:rPr>
        <w:b/>
        <w:bCs/>
      </w:rPr>
    </w:tblStylePr>
    <w:tblStylePr w:type="lastCol">
      <w:rPr>
        <w:b/>
        <w:bCs/>
      </w:rPr>
    </w:tblStylePr>
    <w:tblStylePr w:type="band1Vert">
      <w:tblPr/>
      <w:tcPr>
        <w:shd w:val="clear" w:color="auto" w:fill="BDE0A1" w:themeFill="accent1" w:themeFillTint="7F"/>
      </w:tcPr>
    </w:tblStylePr>
    <w:tblStylePr w:type="band1Horz">
      <w:tblPr/>
      <w:tcPr>
        <w:shd w:val="clear" w:color="auto" w:fill="BDE0A1" w:themeFill="accent1" w:themeFillTint="7F"/>
      </w:tcPr>
    </w:tblStylePr>
  </w:style>
  <w:style w:type="table" w:styleId="MediumGrid1-Accent2">
    <w:name w:val="Medium Grid 1 Accent 2"/>
    <w:basedOn w:val="TableNormal"/>
    <w:uiPriority w:val="67"/>
    <w:semiHidden/>
    <w:tblPr>
      <w:tblStyleRowBandSize w:val="1"/>
      <w:tblStyleColBandSize w:val="1"/>
      <w:tblBorders>
        <w:top w:val="single" w:sz="8" w:space="0" w:color="72B8A2" w:themeColor="accent2" w:themeTint="BF"/>
        <w:left w:val="single" w:sz="8" w:space="0" w:color="72B8A2" w:themeColor="accent2" w:themeTint="BF"/>
        <w:bottom w:val="single" w:sz="8" w:space="0" w:color="72B8A2" w:themeColor="accent2" w:themeTint="BF"/>
        <w:right w:val="single" w:sz="8" w:space="0" w:color="72B8A2" w:themeColor="accent2" w:themeTint="BF"/>
        <w:insideH w:val="single" w:sz="8" w:space="0" w:color="72B8A2" w:themeColor="accent2" w:themeTint="BF"/>
        <w:insideV w:val="single" w:sz="8" w:space="0" w:color="72B8A2" w:themeColor="accent2" w:themeTint="BF"/>
      </w:tblBorders>
    </w:tblPr>
    <w:tcPr>
      <w:shd w:val="clear" w:color="auto" w:fill="D0E7E0" w:themeFill="accent2" w:themeFillTint="3F"/>
    </w:tcPr>
    <w:tblStylePr w:type="firstRow">
      <w:rPr>
        <w:b/>
        <w:bCs/>
      </w:rPr>
    </w:tblStylePr>
    <w:tblStylePr w:type="lastRow">
      <w:rPr>
        <w:b/>
        <w:bCs/>
      </w:rPr>
      <w:tblPr/>
      <w:tcPr>
        <w:tcBorders>
          <w:top w:val="single" w:sz="18" w:space="0" w:color="72B8A2" w:themeColor="accent2" w:themeTint="BF"/>
        </w:tcBorders>
      </w:tcPr>
    </w:tblStylePr>
    <w:tblStylePr w:type="firstCol">
      <w:rPr>
        <w:b/>
        <w:bCs/>
      </w:rPr>
    </w:tblStylePr>
    <w:tblStylePr w:type="lastCol">
      <w:rPr>
        <w:b/>
        <w:bCs/>
      </w:rPr>
    </w:tblStylePr>
    <w:tblStylePr w:type="band1Vert">
      <w:tblPr/>
      <w:tcPr>
        <w:shd w:val="clear" w:color="auto" w:fill="A1D0C1" w:themeFill="accent2" w:themeFillTint="7F"/>
      </w:tcPr>
    </w:tblStylePr>
    <w:tblStylePr w:type="band1Horz">
      <w:tblPr/>
      <w:tcPr>
        <w:shd w:val="clear" w:color="auto" w:fill="A1D0C1" w:themeFill="accent2" w:themeFillTint="7F"/>
      </w:tcPr>
    </w:tblStylePr>
  </w:style>
  <w:style w:type="table" w:styleId="MediumGrid1-Accent3">
    <w:name w:val="Medium Grid 1 Accent 3"/>
    <w:basedOn w:val="TableNormal"/>
    <w:uiPriority w:val="67"/>
    <w:semiHidden/>
    <w:tblPr>
      <w:tblStyleRowBandSize w:val="1"/>
      <w:tblStyleColBandSize w:val="1"/>
      <w:tblBorders>
        <w:top w:val="single" w:sz="8" w:space="0" w:color="E4DECD" w:themeColor="accent3" w:themeTint="BF"/>
        <w:left w:val="single" w:sz="8" w:space="0" w:color="E4DECD" w:themeColor="accent3" w:themeTint="BF"/>
        <w:bottom w:val="single" w:sz="8" w:space="0" w:color="E4DECD" w:themeColor="accent3" w:themeTint="BF"/>
        <w:right w:val="single" w:sz="8" w:space="0" w:color="E4DECD" w:themeColor="accent3" w:themeTint="BF"/>
        <w:insideH w:val="single" w:sz="8" w:space="0" w:color="E4DECD" w:themeColor="accent3" w:themeTint="BF"/>
        <w:insideV w:val="single" w:sz="8" w:space="0" w:color="E4DECD" w:themeColor="accent3" w:themeTint="BF"/>
      </w:tblBorders>
    </w:tblPr>
    <w:tcPr>
      <w:shd w:val="clear" w:color="auto" w:fill="F6F4EE" w:themeFill="accent3" w:themeFillTint="3F"/>
    </w:tcPr>
    <w:tblStylePr w:type="firstRow">
      <w:rPr>
        <w:b/>
        <w:bCs/>
      </w:rPr>
    </w:tblStylePr>
    <w:tblStylePr w:type="lastRow">
      <w:rPr>
        <w:b/>
        <w:bCs/>
      </w:rPr>
      <w:tblPr/>
      <w:tcPr>
        <w:tcBorders>
          <w:top w:val="single" w:sz="18" w:space="0" w:color="E4DECD" w:themeColor="accent3" w:themeTint="BF"/>
        </w:tcBorders>
      </w:tcPr>
    </w:tblStylePr>
    <w:tblStylePr w:type="firstCol">
      <w:rPr>
        <w:b/>
        <w:bCs/>
      </w:rPr>
    </w:tblStylePr>
    <w:tblStylePr w:type="lastCol">
      <w:rPr>
        <w:b/>
        <w:bCs/>
      </w:rPr>
    </w:tblStylePr>
    <w:tblStylePr w:type="band1Vert">
      <w:tblPr/>
      <w:tcPr>
        <w:shd w:val="clear" w:color="auto" w:fill="EDE9DE" w:themeFill="accent3" w:themeFillTint="7F"/>
      </w:tcPr>
    </w:tblStylePr>
    <w:tblStylePr w:type="band1Horz">
      <w:tblPr/>
      <w:tcPr>
        <w:shd w:val="clear" w:color="auto" w:fill="EDE9DE" w:themeFill="accent3" w:themeFillTint="7F"/>
      </w:tcPr>
    </w:tblStylePr>
  </w:style>
  <w:style w:type="table" w:styleId="MediumGrid1-Accent4">
    <w:name w:val="Medium Grid 1 Accent 4"/>
    <w:basedOn w:val="TableNormal"/>
    <w:uiPriority w:val="67"/>
    <w:semiHidden/>
    <w:tblPr>
      <w:tblStyleRowBandSize w:val="1"/>
      <w:tblStyleColBandSize w:val="1"/>
      <w:tblBorders>
        <w:top w:val="single" w:sz="8" w:space="0" w:color="404040" w:themeColor="accent4" w:themeTint="BF"/>
        <w:left w:val="single" w:sz="8" w:space="0" w:color="404040" w:themeColor="accent4" w:themeTint="BF"/>
        <w:bottom w:val="single" w:sz="8" w:space="0" w:color="404040" w:themeColor="accent4" w:themeTint="BF"/>
        <w:right w:val="single" w:sz="8" w:space="0" w:color="404040" w:themeColor="accent4" w:themeTint="BF"/>
        <w:insideH w:val="single" w:sz="8" w:space="0" w:color="404040" w:themeColor="accent4" w:themeTint="BF"/>
        <w:insideV w:val="single" w:sz="8" w:space="0" w:color="404040" w:themeColor="accent4" w:themeTint="BF"/>
      </w:tblBorders>
    </w:tblPr>
    <w:tcPr>
      <w:shd w:val="clear" w:color="auto" w:fill="C0C0C0" w:themeFill="accent4" w:themeFillTint="3F"/>
    </w:tcPr>
    <w:tblStylePr w:type="firstRow">
      <w:rPr>
        <w:b/>
        <w:bCs/>
      </w:rPr>
    </w:tblStylePr>
    <w:tblStylePr w:type="lastRow">
      <w:rPr>
        <w:b/>
        <w:bCs/>
      </w:rPr>
      <w:tblPr/>
      <w:tcPr>
        <w:tcBorders>
          <w:top w:val="single" w:sz="18" w:space="0" w:color="404040" w:themeColor="accent4" w:themeTint="BF"/>
        </w:tcBorders>
      </w:tcPr>
    </w:tblStylePr>
    <w:tblStylePr w:type="firstCol">
      <w:rPr>
        <w:b/>
        <w:bCs/>
      </w:rPr>
    </w:tblStylePr>
    <w:tblStylePr w:type="lastCol">
      <w:rPr>
        <w:b/>
        <w:bCs/>
      </w:rPr>
    </w:tblStylePr>
    <w:tblStylePr w:type="band1Vert">
      <w:tblPr/>
      <w:tcPr>
        <w:shd w:val="clear" w:color="auto" w:fill="808080" w:themeFill="accent4" w:themeFillTint="7F"/>
      </w:tcPr>
    </w:tblStylePr>
    <w:tblStylePr w:type="band1Horz">
      <w:tblPr/>
      <w:tcPr>
        <w:shd w:val="clear" w:color="auto" w:fill="808080" w:themeFill="accent4" w:themeFillTint="7F"/>
      </w:tcPr>
    </w:tblStylePr>
  </w:style>
  <w:style w:type="table" w:styleId="MediumGrid1-Accent5">
    <w:name w:val="Medium Grid 1 Accent 5"/>
    <w:basedOn w:val="TableNormal"/>
    <w:uiPriority w:val="67"/>
    <w:semiHidden/>
    <w:tblPr>
      <w:tblStyleRowBandSize w:val="1"/>
      <w:tblStyleColBandSize w:val="1"/>
      <w:tblBorders>
        <w:top w:val="single" w:sz="8" w:space="0" w:color="CFE5C3" w:themeColor="accent5" w:themeTint="BF"/>
        <w:left w:val="single" w:sz="8" w:space="0" w:color="CFE5C3" w:themeColor="accent5" w:themeTint="BF"/>
        <w:bottom w:val="single" w:sz="8" w:space="0" w:color="CFE5C3" w:themeColor="accent5" w:themeTint="BF"/>
        <w:right w:val="single" w:sz="8" w:space="0" w:color="CFE5C3" w:themeColor="accent5" w:themeTint="BF"/>
        <w:insideH w:val="single" w:sz="8" w:space="0" w:color="CFE5C3" w:themeColor="accent5" w:themeTint="BF"/>
        <w:insideV w:val="single" w:sz="8" w:space="0" w:color="CFE5C3" w:themeColor="accent5" w:themeTint="BF"/>
      </w:tblBorders>
    </w:tblPr>
    <w:tcPr>
      <w:shd w:val="clear" w:color="auto" w:fill="EFF6EB" w:themeFill="accent5" w:themeFillTint="3F"/>
    </w:tcPr>
    <w:tblStylePr w:type="firstRow">
      <w:rPr>
        <w:b/>
        <w:bCs/>
      </w:rPr>
    </w:tblStylePr>
    <w:tblStylePr w:type="lastRow">
      <w:rPr>
        <w:b/>
        <w:bCs/>
      </w:rPr>
      <w:tblPr/>
      <w:tcPr>
        <w:tcBorders>
          <w:top w:val="single" w:sz="18" w:space="0" w:color="CFE5C3" w:themeColor="accent5" w:themeTint="BF"/>
        </w:tcBorders>
      </w:tcPr>
    </w:tblStylePr>
    <w:tblStylePr w:type="firstCol">
      <w:rPr>
        <w:b/>
        <w:bCs/>
      </w:rPr>
    </w:tblStylePr>
    <w:tblStylePr w:type="lastCol">
      <w:rPr>
        <w:b/>
        <w:bCs/>
      </w:rPr>
    </w:tblStylePr>
    <w:tblStylePr w:type="band1Vert">
      <w:tblPr/>
      <w:tcPr>
        <w:shd w:val="clear" w:color="auto" w:fill="DFEED7" w:themeFill="accent5" w:themeFillTint="7F"/>
      </w:tcPr>
    </w:tblStylePr>
    <w:tblStylePr w:type="band1Horz">
      <w:tblPr/>
      <w:tcPr>
        <w:shd w:val="clear" w:color="auto" w:fill="DFEED7" w:themeFill="accent5" w:themeFillTint="7F"/>
      </w:tcPr>
    </w:tblStylePr>
  </w:style>
  <w:style w:type="table" w:styleId="MediumGrid1-Accent6">
    <w:name w:val="Medium Grid 1 Accent 6"/>
    <w:basedOn w:val="TableNormal"/>
    <w:uiPriority w:val="67"/>
    <w:semiHidden/>
    <w:tblPr>
      <w:tblStyleRowBandSize w:val="1"/>
      <w:tblStyleColBandSize w:val="1"/>
      <w:tblBorders>
        <w:top w:val="single" w:sz="8" w:space="0" w:color="66B39A" w:themeColor="accent6" w:themeTint="BF"/>
        <w:left w:val="single" w:sz="8" w:space="0" w:color="66B39A" w:themeColor="accent6" w:themeTint="BF"/>
        <w:bottom w:val="single" w:sz="8" w:space="0" w:color="66B39A" w:themeColor="accent6" w:themeTint="BF"/>
        <w:right w:val="single" w:sz="8" w:space="0" w:color="66B39A" w:themeColor="accent6" w:themeTint="BF"/>
        <w:insideH w:val="single" w:sz="8" w:space="0" w:color="66B39A" w:themeColor="accent6" w:themeTint="BF"/>
        <w:insideV w:val="single" w:sz="8" w:space="0" w:color="66B39A" w:themeColor="accent6" w:themeTint="BF"/>
      </w:tblBorders>
    </w:tblPr>
    <w:tcPr>
      <w:shd w:val="clear" w:color="auto" w:fill="CCE6DD" w:themeFill="accent6" w:themeFillTint="3F"/>
    </w:tcPr>
    <w:tblStylePr w:type="firstRow">
      <w:rPr>
        <w:b/>
        <w:bCs/>
      </w:rPr>
    </w:tblStylePr>
    <w:tblStylePr w:type="lastRow">
      <w:rPr>
        <w:b/>
        <w:bCs/>
      </w:rPr>
      <w:tblPr/>
      <w:tcPr>
        <w:tcBorders>
          <w:top w:val="single" w:sz="18" w:space="0" w:color="66B39A" w:themeColor="accent6" w:themeTint="BF"/>
        </w:tcBorders>
      </w:tcPr>
    </w:tblStylePr>
    <w:tblStylePr w:type="firstCol">
      <w:rPr>
        <w:b/>
        <w:bCs/>
      </w:rPr>
    </w:tblStylePr>
    <w:tblStylePr w:type="lastCol">
      <w:rPr>
        <w:b/>
        <w:bCs/>
      </w:rPr>
    </w:tblStylePr>
    <w:tblStylePr w:type="band1Vert">
      <w:tblPr/>
      <w:tcPr>
        <w:shd w:val="clear" w:color="auto" w:fill="99CCBC" w:themeFill="accent6" w:themeFillTint="7F"/>
      </w:tcPr>
    </w:tblStylePr>
    <w:tblStylePr w:type="band1Horz">
      <w:tblPr/>
      <w:tcPr>
        <w:shd w:val="clear" w:color="auto" w:fill="99CCBC" w:themeFill="accent6" w:themeFillTint="7F"/>
      </w:tcPr>
    </w:tblStylePr>
  </w:style>
  <w:style w:type="table" w:styleId="MediumGrid2">
    <w:name w:val="Medium Grid 2"/>
    <w:basedOn w:val="TableNormal"/>
    <w:uiPriority w:val="68"/>
    <w:semiHidden/>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BDAF77" w:themeFill="background1"/>
      </w:tcPr>
    </w:tblStylePr>
    <w:tblStylePr w:type="firstCol">
      <w:rPr>
        <w:b/>
        <w:bCs/>
        <w:color w:val="000000" w:themeColor="text1"/>
      </w:rPr>
      <w:tblPr/>
      <w:tcPr>
        <w:tcBorders>
          <w:top w:val="nil"/>
          <w:left w:val="nil"/>
          <w:bottom w:val="nil"/>
          <w:right w:val="nil"/>
          <w:insideH w:val="nil"/>
          <w:insideV w:val="nil"/>
        </w:tcBorders>
        <w:shd w:val="clear" w:color="auto" w:fill="BDAF7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BDAF77" w:themeFill="background1"/>
      </w:tcPr>
    </w:tblStylePr>
  </w:style>
  <w:style w:type="table" w:styleId="MediumGrid2-Accent1">
    <w:name w:val="Medium Grid 2 Accent 1"/>
    <w:basedOn w:val="TableNormal"/>
    <w:uiPriority w:val="68"/>
    <w:semiHidden/>
    <w:rPr>
      <w:rFonts w:eastAsiaTheme="majorEastAsia"/>
      <w:color w:val="000000" w:themeColor="text1"/>
    </w:rPr>
    <w:tblPr>
      <w:tblStyleRowBandSize w:val="1"/>
      <w:tblStyleColBandSize w:val="1"/>
      <w:tblBorders>
        <w:top w:val="single" w:sz="8" w:space="0" w:color="7BC143" w:themeColor="accent1"/>
        <w:left w:val="single" w:sz="8" w:space="0" w:color="7BC143" w:themeColor="accent1"/>
        <w:bottom w:val="single" w:sz="8" w:space="0" w:color="7BC143" w:themeColor="accent1"/>
        <w:right w:val="single" w:sz="8" w:space="0" w:color="7BC143" w:themeColor="accent1"/>
        <w:insideH w:val="single" w:sz="8" w:space="0" w:color="7BC143" w:themeColor="accent1"/>
        <w:insideV w:val="single" w:sz="8" w:space="0" w:color="7BC143" w:themeColor="accent1"/>
      </w:tblBorders>
    </w:tblPr>
    <w:tcPr>
      <w:shd w:val="clear" w:color="auto" w:fill="DEEFD0" w:themeFill="accent1" w:themeFillTint="3F"/>
    </w:tcPr>
    <w:tblStylePr w:type="firstRow">
      <w:rPr>
        <w:b/>
        <w:bCs/>
        <w:color w:val="000000" w:themeColor="text1"/>
      </w:rPr>
      <w:tblPr/>
      <w:tcPr>
        <w:shd w:val="clear" w:color="auto" w:fill="F1F9E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BDAF77" w:themeFill="background1"/>
      </w:tcPr>
    </w:tblStylePr>
    <w:tblStylePr w:type="firstCol">
      <w:rPr>
        <w:b/>
        <w:bCs/>
        <w:color w:val="000000" w:themeColor="text1"/>
      </w:rPr>
      <w:tblPr/>
      <w:tcPr>
        <w:tcBorders>
          <w:top w:val="nil"/>
          <w:left w:val="nil"/>
          <w:bottom w:val="nil"/>
          <w:right w:val="nil"/>
          <w:insideH w:val="nil"/>
          <w:insideV w:val="nil"/>
        </w:tcBorders>
        <w:shd w:val="clear" w:color="auto" w:fill="BDAF7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2D9" w:themeFill="accent1" w:themeFillTint="33"/>
      </w:tcPr>
    </w:tblStylePr>
    <w:tblStylePr w:type="band1Vert">
      <w:tblPr/>
      <w:tcPr>
        <w:shd w:val="clear" w:color="auto" w:fill="BDE0A1" w:themeFill="accent1" w:themeFillTint="7F"/>
      </w:tcPr>
    </w:tblStylePr>
    <w:tblStylePr w:type="band1Horz">
      <w:tblPr/>
      <w:tcPr>
        <w:tcBorders>
          <w:insideH w:val="single" w:sz="6" w:space="0" w:color="7BC143" w:themeColor="accent1"/>
          <w:insideV w:val="single" w:sz="6" w:space="0" w:color="7BC143" w:themeColor="accent1"/>
        </w:tcBorders>
        <w:shd w:val="clear" w:color="auto" w:fill="BDE0A1" w:themeFill="accent1" w:themeFillTint="7F"/>
      </w:tcPr>
    </w:tblStylePr>
    <w:tblStylePr w:type="nwCell">
      <w:tblPr/>
      <w:tcPr>
        <w:shd w:val="clear" w:color="auto" w:fill="BDAF77" w:themeFill="background1"/>
      </w:tcPr>
    </w:tblStylePr>
  </w:style>
  <w:style w:type="table" w:styleId="MediumGrid2-Accent2">
    <w:name w:val="Medium Grid 2 Accent 2"/>
    <w:basedOn w:val="TableNormal"/>
    <w:uiPriority w:val="68"/>
    <w:semiHidden/>
    <w:rPr>
      <w:rFonts w:eastAsiaTheme="majorEastAsia"/>
      <w:color w:val="000000" w:themeColor="text1"/>
    </w:rPr>
    <w:tblPr>
      <w:tblStyleRowBandSize w:val="1"/>
      <w:tblStyleColBandSize w:val="1"/>
      <w:tblBorders>
        <w:top w:val="single" w:sz="8" w:space="0" w:color="4C9880" w:themeColor="accent2"/>
        <w:left w:val="single" w:sz="8" w:space="0" w:color="4C9880" w:themeColor="accent2"/>
        <w:bottom w:val="single" w:sz="8" w:space="0" w:color="4C9880" w:themeColor="accent2"/>
        <w:right w:val="single" w:sz="8" w:space="0" w:color="4C9880" w:themeColor="accent2"/>
        <w:insideH w:val="single" w:sz="8" w:space="0" w:color="4C9880" w:themeColor="accent2"/>
        <w:insideV w:val="single" w:sz="8" w:space="0" w:color="4C9880" w:themeColor="accent2"/>
      </w:tblBorders>
    </w:tblPr>
    <w:tcPr>
      <w:shd w:val="clear" w:color="auto" w:fill="D0E7E0" w:themeFill="accent2" w:themeFillTint="3F"/>
    </w:tcPr>
    <w:tblStylePr w:type="firstRow">
      <w:rPr>
        <w:b/>
        <w:bCs/>
        <w:color w:val="000000" w:themeColor="text1"/>
      </w:rPr>
      <w:tblPr/>
      <w:tcPr>
        <w:shd w:val="clear" w:color="auto" w:fill="ECF5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BDAF77" w:themeFill="background1"/>
      </w:tcPr>
    </w:tblStylePr>
    <w:tblStylePr w:type="firstCol">
      <w:rPr>
        <w:b/>
        <w:bCs/>
        <w:color w:val="000000" w:themeColor="text1"/>
      </w:rPr>
      <w:tblPr/>
      <w:tcPr>
        <w:tcBorders>
          <w:top w:val="nil"/>
          <w:left w:val="nil"/>
          <w:bottom w:val="nil"/>
          <w:right w:val="nil"/>
          <w:insideH w:val="nil"/>
          <w:insideV w:val="nil"/>
        </w:tcBorders>
        <w:shd w:val="clear" w:color="auto" w:fill="BDAF7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CE6" w:themeFill="accent2" w:themeFillTint="33"/>
      </w:tcPr>
    </w:tblStylePr>
    <w:tblStylePr w:type="band1Vert">
      <w:tblPr/>
      <w:tcPr>
        <w:shd w:val="clear" w:color="auto" w:fill="A1D0C1" w:themeFill="accent2" w:themeFillTint="7F"/>
      </w:tcPr>
    </w:tblStylePr>
    <w:tblStylePr w:type="band1Horz">
      <w:tblPr/>
      <w:tcPr>
        <w:tcBorders>
          <w:insideH w:val="single" w:sz="6" w:space="0" w:color="4C9880" w:themeColor="accent2"/>
          <w:insideV w:val="single" w:sz="6" w:space="0" w:color="4C9880" w:themeColor="accent2"/>
        </w:tcBorders>
        <w:shd w:val="clear" w:color="auto" w:fill="A1D0C1" w:themeFill="accent2" w:themeFillTint="7F"/>
      </w:tcPr>
    </w:tblStylePr>
    <w:tblStylePr w:type="nwCell">
      <w:tblPr/>
      <w:tcPr>
        <w:shd w:val="clear" w:color="auto" w:fill="BDAF77" w:themeFill="background1"/>
      </w:tcPr>
    </w:tblStylePr>
  </w:style>
  <w:style w:type="table" w:styleId="MediumGrid2-Accent3">
    <w:name w:val="Medium Grid 2 Accent 3"/>
    <w:basedOn w:val="TableNormal"/>
    <w:uiPriority w:val="68"/>
    <w:semiHidden/>
    <w:rPr>
      <w:rFonts w:eastAsiaTheme="majorEastAsia"/>
      <w:color w:val="000000" w:themeColor="text1"/>
    </w:rPr>
    <w:tblPr>
      <w:tblStyleRowBandSize w:val="1"/>
      <w:tblStyleColBandSize w:val="1"/>
      <w:tblBorders>
        <w:top w:val="single" w:sz="8" w:space="0" w:color="DBD4BD" w:themeColor="accent3"/>
        <w:left w:val="single" w:sz="8" w:space="0" w:color="DBD4BD" w:themeColor="accent3"/>
        <w:bottom w:val="single" w:sz="8" w:space="0" w:color="DBD4BD" w:themeColor="accent3"/>
        <w:right w:val="single" w:sz="8" w:space="0" w:color="DBD4BD" w:themeColor="accent3"/>
        <w:insideH w:val="single" w:sz="8" w:space="0" w:color="DBD4BD" w:themeColor="accent3"/>
        <w:insideV w:val="single" w:sz="8" w:space="0" w:color="DBD4BD" w:themeColor="accent3"/>
      </w:tblBorders>
    </w:tblPr>
    <w:tcPr>
      <w:shd w:val="clear" w:color="auto" w:fill="F6F4EE" w:themeFill="accent3" w:themeFillTint="3F"/>
    </w:tcPr>
    <w:tblStylePr w:type="firstRow">
      <w:rPr>
        <w:b/>
        <w:bCs/>
        <w:color w:val="000000" w:themeColor="text1"/>
      </w:rPr>
      <w:tblPr/>
      <w:tcPr>
        <w:shd w:val="clear" w:color="auto" w:fill="FBFAF8"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BDAF77" w:themeFill="background1"/>
      </w:tcPr>
    </w:tblStylePr>
    <w:tblStylePr w:type="firstCol">
      <w:rPr>
        <w:b/>
        <w:bCs/>
        <w:color w:val="000000" w:themeColor="text1"/>
      </w:rPr>
      <w:tblPr/>
      <w:tcPr>
        <w:tcBorders>
          <w:top w:val="nil"/>
          <w:left w:val="nil"/>
          <w:bottom w:val="nil"/>
          <w:right w:val="nil"/>
          <w:insideH w:val="nil"/>
          <w:insideV w:val="nil"/>
        </w:tcBorders>
        <w:shd w:val="clear" w:color="auto" w:fill="BDAF7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7F6F1" w:themeFill="accent3" w:themeFillTint="33"/>
      </w:tcPr>
    </w:tblStylePr>
    <w:tblStylePr w:type="band1Vert">
      <w:tblPr/>
      <w:tcPr>
        <w:shd w:val="clear" w:color="auto" w:fill="EDE9DE" w:themeFill="accent3" w:themeFillTint="7F"/>
      </w:tcPr>
    </w:tblStylePr>
    <w:tblStylePr w:type="band1Horz">
      <w:tblPr/>
      <w:tcPr>
        <w:tcBorders>
          <w:insideH w:val="single" w:sz="6" w:space="0" w:color="DBD4BD" w:themeColor="accent3"/>
          <w:insideV w:val="single" w:sz="6" w:space="0" w:color="DBD4BD" w:themeColor="accent3"/>
        </w:tcBorders>
        <w:shd w:val="clear" w:color="auto" w:fill="EDE9DE" w:themeFill="accent3" w:themeFillTint="7F"/>
      </w:tcPr>
    </w:tblStylePr>
    <w:tblStylePr w:type="nwCell">
      <w:tblPr/>
      <w:tcPr>
        <w:shd w:val="clear" w:color="auto" w:fill="BDAF77" w:themeFill="background1"/>
      </w:tcPr>
    </w:tblStylePr>
  </w:style>
  <w:style w:type="table" w:styleId="MediumGrid2-Accent4">
    <w:name w:val="Medium Grid 2 Accent 4"/>
    <w:basedOn w:val="TableNormal"/>
    <w:uiPriority w:val="68"/>
    <w:semiHidden/>
    <w:rPr>
      <w:rFonts w:eastAsiaTheme="majorEastAsia"/>
      <w:color w:val="000000" w:themeColor="text1"/>
    </w:rPr>
    <w:tblPr>
      <w:tblStyleRowBandSize w:val="1"/>
      <w:tblStyleColBandSize w:val="1"/>
      <w:tblBorders>
        <w:top w:val="single" w:sz="8" w:space="0" w:color="000000" w:themeColor="accent4"/>
        <w:left w:val="single" w:sz="8" w:space="0" w:color="000000" w:themeColor="accent4"/>
        <w:bottom w:val="single" w:sz="8" w:space="0" w:color="000000" w:themeColor="accent4"/>
        <w:right w:val="single" w:sz="8" w:space="0" w:color="000000" w:themeColor="accent4"/>
        <w:insideH w:val="single" w:sz="8" w:space="0" w:color="000000" w:themeColor="accent4"/>
        <w:insideV w:val="single" w:sz="8" w:space="0" w:color="000000" w:themeColor="accent4"/>
      </w:tblBorders>
    </w:tblPr>
    <w:tcPr>
      <w:shd w:val="clear" w:color="auto" w:fill="C0C0C0" w:themeFill="accent4" w:themeFillTint="3F"/>
    </w:tcPr>
    <w:tblStylePr w:type="firstRow">
      <w:rPr>
        <w:b/>
        <w:bCs/>
        <w:color w:val="000000" w:themeColor="text1"/>
      </w:rPr>
      <w:tblPr/>
      <w:tcPr>
        <w:shd w:val="clear" w:color="auto" w:fill="E6E6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BDAF77" w:themeFill="background1"/>
      </w:tcPr>
    </w:tblStylePr>
    <w:tblStylePr w:type="firstCol">
      <w:rPr>
        <w:b/>
        <w:bCs/>
        <w:color w:val="000000" w:themeColor="text1"/>
      </w:rPr>
      <w:tblPr/>
      <w:tcPr>
        <w:tcBorders>
          <w:top w:val="nil"/>
          <w:left w:val="nil"/>
          <w:bottom w:val="nil"/>
          <w:right w:val="nil"/>
          <w:insideH w:val="nil"/>
          <w:insideV w:val="nil"/>
        </w:tcBorders>
        <w:shd w:val="clear" w:color="auto" w:fill="BDAF7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4" w:themeFillTint="33"/>
      </w:tcPr>
    </w:tblStylePr>
    <w:tblStylePr w:type="band1Vert">
      <w:tblPr/>
      <w:tcPr>
        <w:shd w:val="clear" w:color="auto" w:fill="808080" w:themeFill="accent4" w:themeFillTint="7F"/>
      </w:tcPr>
    </w:tblStylePr>
    <w:tblStylePr w:type="band1Horz">
      <w:tblPr/>
      <w:tcPr>
        <w:tcBorders>
          <w:insideH w:val="single" w:sz="6" w:space="0" w:color="000000" w:themeColor="accent4"/>
          <w:insideV w:val="single" w:sz="6" w:space="0" w:color="000000" w:themeColor="accent4"/>
        </w:tcBorders>
        <w:shd w:val="clear" w:color="auto" w:fill="808080" w:themeFill="accent4" w:themeFillTint="7F"/>
      </w:tcPr>
    </w:tblStylePr>
    <w:tblStylePr w:type="nwCell">
      <w:tblPr/>
      <w:tcPr>
        <w:shd w:val="clear" w:color="auto" w:fill="BDAF77" w:themeFill="background1"/>
      </w:tcPr>
    </w:tblStylePr>
  </w:style>
  <w:style w:type="table" w:styleId="MediumGrid2-Accent5">
    <w:name w:val="Medium Grid 2 Accent 5"/>
    <w:basedOn w:val="TableNormal"/>
    <w:uiPriority w:val="68"/>
    <w:semiHidden/>
    <w:rPr>
      <w:rFonts w:eastAsiaTheme="majorEastAsia"/>
      <w:color w:val="000000" w:themeColor="text1"/>
    </w:rPr>
    <w:tblPr>
      <w:tblStyleRowBandSize w:val="1"/>
      <w:tblStyleColBandSize w:val="1"/>
      <w:tblBorders>
        <w:top w:val="single" w:sz="8" w:space="0" w:color="BFDDB0" w:themeColor="accent5"/>
        <w:left w:val="single" w:sz="8" w:space="0" w:color="BFDDB0" w:themeColor="accent5"/>
        <w:bottom w:val="single" w:sz="8" w:space="0" w:color="BFDDB0" w:themeColor="accent5"/>
        <w:right w:val="single" w:sz="8" w:space="0" w:color="BFDDB0" w:themeColor="accent5"/>
        <w:insideH w:val="single" w:sz="8" w:space="0" w:color="BFDDB0" w:themeColor="accent5"/>
        <w:insideV w:val="single" w:sz="8" w:space="0" w:color="BFDDB0" w:themeColor="accent5"/>
      </w:tblBorders>
    </w:tblPr>
    <w:tcPr>
      <w:shd w:val="clear" w:color="auto" w:fill="EFF6EB" w:themeFill="accent5" w:themeFillTint="3F"/>
    </w:tcPr>
    <w:tblStylePr w:type="firstRow">
      <w:rPr>
        <w:b/>
        <w:bCs/>
        <w:color w:val="000000" w:themeColor="text1"/>
      </w:rPr>
      <w:tblPr/>
      <w:tcPr>
        <w:shd w:val="clear" w:color="auto" w:fill="F8FBF7"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BDAF77" w:themeFill="background1"/>
      </w:tcPr>
    </w:tblStylePr>
    <w:tblStylePr w:type="firstCol">
      <w:rPr>
        <w:b/>
        <w:bCs/>
        <w:color w:val="000000" w:themeColor="text1"/>
      </w:rPr>
      <w:tblPr/>
      <w:tcPr>
        <w:tcBorders>
          <w:top w:val="nil"/>
          <w:left w:val="nil"/>
          <w:bottom w:val="nil"/>
          <w:right w:val="nil"/>
          <w:insideH w:val="nil"/>
          <w:insideV w:val="nil"/>
        </w:tcBorders>
        <w:shd w:val="clear" w:color="auto" w:fill="BDAF7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8EF" w:themeFill="accent5" w:themeFillTint="33"/>
      </w:tcPr>
    </w:tblStylePr>
    <w:tblStylePr w:type="band1Vert">
      <w:tblPr/>
      <w:tcPr>
        <w:shd w:val="clear" w:color="auto" w:fill="DFEED7" w:themeFill="accent5" w:themeFillTint="7F"/>
      </w:tcPr>
    </w:tblStylePr>
    <w:tblStylePr w:type="band1Horz">
      <w:tblPr/>
      <w:tcPr>
        <w:tcBorders>
          <w:insideH w:val="single" w:sz="6" w:space="0" w:color="BFDDB0" w:themeColor="accent5"/>
          <w:insideV w:val="single" w:sz="6" w:space="0" w:color="BFDDB0" w:themeColor="accent5"/>
        </w:tcBorders>
        <w:shd w:val="clear" w:color="auto" w:fill="DFEED7" w:themeFill="accent5" w:themeFillTint="7F"/>
      </w:tcPr>
    </w:tblStylePr>
    <w:tblStylePr w:type="nwCell">
      <w:tblPr/>
      <w:tcPr>
        <w:shd w:val="clear" w:color="auto" w:fill="BDAF77" w:themeFill="background1"/>
      </w:tcPr>
    </w:tblStylePr>
  </w:style>
  <w:style w:type="table" w:styleId="MediumGrid2-Accent6">
    <w:name w:val="Medium Grid 2 Accent 6"/>
    <w:basedOn w:val="TableNormal"/>
    <w:uiPriority w:val="68"/>
    <w:semiHidden/>
    <w:rPr>
      <w:rFonts w:eastAsiaTheme="majorEastAsia"/>
      <w:color w:val="000000" w:themeColor="text1"/>
    </w:rPr>
    <w:tblPr>
      <w:tblStyleRowBandSize w:val="1"/>
      <w:tblStyleColBandSize w:val="1"/>
      <w:tblBorders>
        <w:top w:val="single" w:sz="8" w:space="0" w:color="448973" w:themeColor="accent6"/>
        <w:left w:val="single" w:sz="8" w:space="0" w:color="448973" w:themeColor="accent6"/>
        <w:bottom w:val="single" w:sz="8" w:space="0" w:color="448973" w:themeColor="accent6"/>
        <w:right w:val="single" w:sz="8" w:space="0" w:color="448973" w:themeColor="accent6"/>
        <w:insideH w:val="single" w:sz="8" w:space="0" w:color="448973" w:themeColor="accent6"/>
        <w:insideV w:val="single" w:sz="8" w:space="0" w:color="448973" w:themeColor="accent6"/>
      </w:tblBorders>
    </w:tblPr>
    <w:tcPr>
      <w:shd w:val="clear" w:color="auto" w:fill="CCE6DD" w:themeFill="accent6" w:themeFillTint="3F"/>
    </w:tcPr>
    <w:tblStylePr w:type="firstRow">
      <w:rPr>
        <w:b/>
        <w:bCs/>
        <w:color w:val="000000" w:themeColor="text1"/>
      </w:rPr>
      <w:tblPr/>
      <w:tcPr>
        <w:shd w:val="clear" w:color="auto" w:fill="EAF5F1"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BDAF77" w:themeFill="background1"/>
      </w:tcPr>
    </w:tblStylePr>
    <w:tblStylePr w:type="firstCol">
      <w:rPr>
        <w:b/>
        <w:bCs/>
        <w:color w:val="000000" w:themeColor="text1"/>
      </w:rPr>
      <w:tblPr/>
      <w:tcPr>
        <w:tcBorders>
          <w:top w:val="nil"/>
          <w:left w:val="nil"/>
          <w:bottom w:val="nil"/>
          <w:right w:val="nil"/>
          <w:insideH w:val="nil"/>
          <w:insideV w:val="nil"/>
        </w:tcBorders>
        <w:shd w:val="clear" w:color="auto" w:fill="BDAF7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EAE4" w:themeFill="accent6" w:themeFillTint="33"/>
      </w:tcPr>
    </w:tblStylePr>
    <w:tblStylePr w:type="band1Vert">
      <w:tblPr/>
      <w:tcPr>
        <w:shd w:val="clear" w:color="auto" w:fill="99CCBC" w:themeFill="accent6" w:themeFillTint="7F"/>
      </w:tcPr>
    </w:tblStylePr>
    <w:tblStylePr w:type="band1Horz">
      <w:tblPr/>
      <w:tcPr>
        <w:tcBorders>
          <w:insideH w:val="single" w:sz="6" w:space="0" w:color="448973" w:themeColor="accent6"/>
          <w:insideV w:val="single" w:sz="6" w:space="0" w:color="448973" w:themeColor="accent6"/>
        </w:tcBorders>
        <w:shd w:val="clear" w:color="auto" w:fill="99CCBC" w:themeFill="accent6" w:themeFillTint="7F"/>
      </w:tcPr>
    </w:tblStylePr>
    <w:tblStylePr w:type="nwCell">
      <w:tblPr/>
      <w:tcPr>
        <w:shd w:val="clear" w:color="auto" w:fill="BDAF77" w:themeFill="background1"/>
      </w:tcPr>
    </w:tblStylePr>
  </w:style>
  <w:style w:type="table" w:styleId="MediumGrid3">
    <w:name w:val="Medium Grid 3"/>
    <w:basedOn w:val="TableNormal"/>
    <w:uiPriority w:val="69"/>
    <w:semiHidden/>
    <w:tblPr>
      <w:tblStyleRowBandSize w:val="1"/>
      <w:tblStyleColBandSize w:val="1"/>
      <w:tbl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single" w:sz="6" w:space="0" w:color="BDAF77" w:themeColor="background1"/>
        <w:insideV w:val="single" w:sz="6" w:space="0" w:color="BDAF77" w:themeColor="background1"/>
      </w:tblBorders>
    </w:tblPr>
    <w:tcPr>
      <w:shd w:val="clear" w:color="auto" w:fill="C0C0C0" w:themeFill="text1" w:themeFillTint="3F"/>
    </w:tcPr>
    <w:tblStylePr w:type="firstRow">
      <w:rPr>
        <w:b/>
        <w:bCs/>
        <w:i w:val="0"/>
        <w:iCs w:val="0"/>
        <w:color w:val="BDAF77" w:themeColor="background1"/>
      </w:rPr>
      <w:tblPr/>
      <w:tcPr>
        <w:tcBorders>
          <w:top w:val="single" w:sz="8" w:space="0" w:color="BDAF77" w:themeColor="background1"/>
          <w:left w:val="single" w:sz="8" w:space="0" w:color="BDAF77" w:themeColor="background1"/>
          <w:bottom w:val="single" w:sz="24" w:space="0" w:color="BDAF77" w:themeColor="background1"/>
          <w:right w:val="single" w:sz="8" w:space="0" w:color="BDAF77" w:themeColor="background1"/>
          <w:insideH w:val="nil"/>
          <w:insideV w:val="single" w:sz="8" w:space="0" w:color="BDAF77" w:themeColor="background1"/>
        </w:tcBorders>
        <w:shd w:val="clear" w:color="auto" w:fill="000000" w:themeFill="text1"/>
      </w:tcPr>
    </w:tblStylePr>
    <w:tblStylePr w:type="lastRow">
      <w:rPr>
        <w:b/>
        <w:bCs/>
        <w:i w:val="0"/>
        <w:iCs w:val="0"/>
        <w:color w:val="BDAF77" w:themeColor="background1"/>
      </w:rPr>
      <w:tblPr/>
      <w:tcPr>
        <w:tcBorders>
          <w:top w:val="single" w:sz="24" w:space="0" w:color="BDAF77" w:themeColor="background1"/>
          <w:left w:val="single" w:sz="8" w:space="0" w:color="BDAF77" w:themeColor="background1"/>
          <w:bottom w:val="single" w:sz="8" w:space="0" w:color="BDAF77" w:themeColor="background1"/>
          <w:right w:val="single" w:sz="8" w:space="0" w:color="BDAF77" w:themeColor="background1"/>
          <w:insideH w:val="nil"/>
          <w:insideV w:val="single" w:sz="8" w:space="0" w:color="BDAF77" w:themeColor="background1"/>
        </w:tcBorders>
        <w:shd w:val="clear" w:color="auto" w:fill="000000" w:themeFill="text1"/>
      </w:tcPr>
    </w:tblStylePr>
    <w:tblStylePr w:type="firstCol">
      <w:rPr>
        <w:b/>
        <w:bCs/>
        <w:i w:val="0"/>
        <w:iCs w:val="0"/>
        <w:color w:val="BDAF77" w:themeColor="background1"/>
      </w:rPr>
      <w:tblPr/>
      <w:tcPr>
        <w:tcBorders>
          <w:left w:val="single" w:sz="8" w:space="0" w:color="BDAF77" w:themeColor="background1"/>
          <w:right w:val="single" w:sz="24" w:space="0" w:color="BDAF77" w:themeColor="background1"/>
          <w:insideH w:val="nil"/>
          <w:insideV w:val="nil"/>
        </w:tcBorders>
        <w:shd w:val="clear" w:color="auto" w:fill="000000" w:themeFill="text1"/>
      </w:tcPr>
    </w:tblStylePr>
    <w:tblStylePr w:type="lastCol">
      <w:rPr>
        <w:b/>
        <w:bCs/>
        <w:i w:val="0"/>
        <w:iCs w:val="0"/>
        <w:color w:val="BDAF77" w:themeColor="background1"/>
      </w:rPr>
      <w:tblPr/>
      <w:tcPr>
        <w:tcBorders>
          <w:top w:val="nil"/>
          <w:left w:val="single" w:sz="24" w:space="0" w:color="BDAF77" w:themeColor="background1"/>
          <w:bottom w:val="nil"/>
          <w:right w:val="nil"/>
          <w:insideH w:val="nil"/>
          <w:insideV w:val="nil"/>
        </w:tcBorders>
        <w:shd w:val="clear" w:color="auto" w:fill="000000" w:themeFill="text1"/>
      </w:tcPr>
    </w:tblStylePr>
    <w:tblStylePr w:type="band1Vert">
      <w:tblPr/>
      <w:tcPr>
        <w:tc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nil"/>
          <w:insideV w:val="nil"/>
        </w:tcBorders>
        <w:shd w:val="clear" w:color="auto" w:fill="808080" w:themeFill="text1" w:themeFillTint="7F"/>
      </w:tcPr>
    </w:tblStylePr>
    <w:tblStylePr w:type="band1Horz">
      <w:tblPr/>
      <w:tcPr>
        <w:tc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single" w:sz="8" w:space="0" w:color="BDAF77" w:themeColor="background1"/>
          <w:insideV w:val="single" w:sz="8" w:space="0" w:color="BDAF77" w:themeColor="background1"/>
        </w:tcBorders>
        <w:shd w:val="clear" w:color="auto" w:fill="808080" w:themeFill="text1" w:themeFillTint="7F"/>
      </w:tcPr>
    </w:tblStylePr>
  </w:style>
  <w:style w:type="table" w:styleId="MediumGrid3-Accent1">
    <w:name w:val="Medium Grid 3 Accent 1"/>
    <w:basedOn w:val="TableNormal"/>
    <w:uiPriority w:val="69"/>
    <w:semiHidden/>
    <w:tblPr>
      <w:tblStyleRowBandSize w:val="1"/>
      <w:tblStyleColBandSize w:val="1"/>
      <w:tbl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single" w:sz="6" w:space="0" w:color="BDAF77" w:themeColor="background1"/>
        <w:insideV w:val="single" w:sz="6" w:space="0" w:color="BDAF77" w:themeColor="background1"/>
      </w:tblBorders>
    </w:tblPr>
    <w:tcPr>
      <w:shd w:val="clear" w:color="auto" w:fill="DEEFD0" w:themeFill="accent1" w:themeFillTint="3F"/>
    </w:tcPr>
    <w:tblStylePr w:type="firstRow">
      <w:rPr>
        <w:b/>
        <w:bCs/>
        <w:i w:val="0"/>
        <w:iCs w:val="0"/>
        <w:color w:val="BDAF77" w:themeColor="background1"/>
      </w:rPr>
      <w:tblPr/>
      <w:tcPr>
        <w:tcBorders>
          <w:top w:val="single" w:sz="8" w:space="0" w:color="BDAF77" w:themeColor="background1"/>
          <w:left w:val="single" w:sz="8" w:space="0" w:color="BDAF77" w:themeColor="background1"/>
          <w:bottom w:val="single" w:sz="24" w:space="0" w:color="BDAF77" w:themeColor="background1"/>
          <w:right w:val="single" w:sz="8" w:space="0" w:color="BDAF77" w:themeColor="background1"/>
          <w:insideH w:val="nil"/>
          <w:insideV w:val="single" w:sz="8" w:space="0" w:color="BDAF77" w:themeColor="background1"/>
        </w:tcBorders>
        <w:shd w:val="clear" w:color="auto" w:fill="7BC143" w:themeFill="accent1"/>
      </w:tcPr>
    </w:tblStylePr>
    <w:tblStylePr w:type="lastRow">
      <w:rPr>
        <w:b/>
        <w:bCs/>
        <w:i w:val="0"/>
        <w:iCs w:val="0"/>
        <w:color w:val="BDAF77" w:themeColor="background1"/>
      </w:rPr>
      <w:tblPr/>
      <w:tcPr>
        <w:tcBorders>
          <w:top w:val="single" w:sz="24" w:space="0" w:color="BDAF77" w:themeColor="background1"/>
          <w:left w:val="single" w:sz="8" w:space="0" w:color="BDAF77" w:themeColor="background1"/>
          <w:bottom w:val="single" w:sz="8" w:space="0" w:color="BDAF77" w:themeColor="background1"/>
          <w:right w:val="single" w:sz="8" w:space="0" w:color="BDAF77" w:themeColor="background1"/>
          <w:insideH w:val="nil"/>
          <w:insideV w:val="single" w:sz="8" w:space="0" w:color="BDAF77" w:themeColor="background1"/>
        </w:tcBorders>
        <w:shd w:val="clear" w:color="auto" w:fill="7BC143" w:themeFill="accent1"/>
      </w:tcPr>
    </w:tblStylePr>
    <w:tblStylePr w:type="firstCol">
      <w:rPr>
        <w:b/>
        <w:bCs/>
        <w:i w:val="0"/>
        <w:iCs w:val="0"/>
        <w:color w:val="BDAF77" w:themeColor="background1"/>
      </w:rPr>
      <w:tblPr/>
      <w:tcPr>
        <w:tcBorders>
          <w:left w:val="single" w:sz="8" w:space="0" w:color="BDAF77" w:themeColor="background1"/>
          <w:right w:val="single" w:sz="24" w:space="0" w:color="BDAF77" w:themeColor="background1"/>
          <w:insideH w:val="nil"/>
          <w:insideV w:val="nil"/>
        </w:tcBorders>
        <w:shd w:val="clear" w:color="auto" w:fill="7BC143" w:themeFill="accent1"/>
      </w:tcPr>
    </w:tblStylePr>
    <w:tblStylePr w:type="lastCol">
      <w:rPr>
        <w:b/>
        <w:bCs/>
        <w:i w:val="0"/>
        <w:iCs w:val="0"/>
        <w:color w:val="BDAF77" w:themeColor="background1"/>
      </w:rPr>
      <w:tblPr/>
      <w:tcPr>
        <w:tcBorders>
          <w:top w:val="nil"/>
          <w:left w:val="single" w:sz="24" w:space="0" w:color="BDAF77" w:themeColor="background1"/>
          <w:bottom w:val="nil"/>
          <w:right w:val="nil"/>
          <w:insideH w:val="nil"/>
          <w:insideV w:val="nil"/>
        </w:tcBorders>
        <w:shd w:val="clear" w:color="auto" w:fill="7BC143" w:themeFill="accent1"/>
      </w:tcPr>
    </w:tblStylePr>
    <w:tblStylePr w:type="band1Vert">
      <w:tblPr/>
      <w:tcPr>
        <w:tc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nil"/>
          <w:insideV w:val="nil"/>
        </w:tcBorders>
        <w:shd w:val="clear" w:color="auto" w:fill="BDE0A1" w:themeFill="accent1" w:themeFillTint="7F"/>
      </w:tcPr>
    </w:tblStylePr>
    <w:tblStylePr w:type="band1Horz">
      <w:tblPr/>
      <w:tcPr>
        <w:tc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single" w:sz="8" w:space="0" w:color="BDAF77" w:themeColor="background1"/>
          <w:insideV w:val="single" w:sz="8" w:space="0" w:color="BDAF77" w:themeColor="background1"/>
        </w:tcBorders>
        <w:shd w:val="clear" w:color="auto" w:fill="BDE0A1" w:themeFill="accent1" w:themeFillTint="7F"/>
      </w:tcPr>
    </w:tblStylePr>
  </w:style>
  <w:style w:type="table" w:styleId="MediumGrid3-Accent2">
    <w:name w:val="Medium Grid 3 Accent 2"/>
    <w:basedOn w:val="TableNormal"/>
    <w:uiPriority w:val="69"/>
    <w:semiHidden/>
    <w:tblPr>
      <w:tblStyleRowBandSize w:val="1"/>
      <w:tblStyleColBandSize w:val="1"/>
      <w:tbl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single" w:sz="6" w:space="0" w:color="BDAF77" w:themeColor="background1"/>
        <w:insideV w:val="single" w:sz="6" w:space="0" w:color="BDAF77" w:themeColor="background1"/>
      </w:tblBorders>
    </w:tblPr>
    <w:tcPr>
      <w:shd w:val="clear" w:color="auto" w:fill="D0E7E0" w:themeFill="accent2" w:themeFillTint="3F"/>
    </w:tcPr>
    <w:tblStylePr w:type="firstRow">
      <w:rPr>
        <w:b/>
        <w:bCs/>
        <w:i w:val="0"/>
        <w:iCs w:val="0"/>
        <w:color w:val="BDAF77" w:themeColor="background1"/>
      </w:rPr>
      <w:tblPr/>
      <w:tcPr>
        <w:tcBorders>
          <w:top w:val="single" w:sz="8" w:space="0" w:color="BDAF77" w:themeColor="background1"/>
          <w:left w:val="single" w:sz="8" w:space="0" w:color="BDAF77" w:themeColor="background1"/>
          <w:bottom w:val="single" w:sz="24" w:space="0" w:color="BDAF77" w:themeColor="background1"/>
          <w:right w:val="single" w:sz="8" w:space="0" w:color="BDAF77" w:themeColor="background1"/>
          <w:insideH w:val="nil"/>
          <w:insideV w:val="single" w:sz="8" w:space="0" w:color="BDAF77" w:themeColor="background1"/>
        </w:tcBorders>
        <w:shd w:val="clear" w:color="auto" w:fill="4C9880" w:themeFill="accent2"/>
      </w:tcPr>
    </w:tblStylePr>
    <w:tblStylePr w:type="lastRow">
      <w:rPr>
        <w:b/>
        <w:bCs/>
        <w:i w:val="0"/>
        <w:iCs w:val="0"/>
        <w:color w:val="BDAF77" w:themeColor="background1"/>
      </w:rPr>
      <w:tblPr/>
      <w:tcPr>
        <w:tcBorders>
          <w:top w:val="single" w:sz="24" w:space="0" w:color="BDAF77" w:themeColor="background1"/>
          <w:left w:val="single" w:sz="8" w:space="0" w:color="BDAF77" w:themeColor="background1"/>
          <w:bottom w:val="single" w:sz="8" w:space="0" w:color="BDAF77" w:themeColor="background1"/>
          <w:right w:val="single" w:sz="8" w:space="0" w:color="BDAF77" w:themeColor="background1"/>
          <w:insideH w:val="nil"/>
          <w:insideV w:val="single" w:sz="8" w:space="0" w:color="BDAF77" w:themeColor="background1"/>
        </w:tcBorders>
        <w:shd w:val="clear" w:color="auto" w:fill="4C9880" w:themeFill="accent2"/>
      </w:tcPr>
    </w:tblStylePr>
    <w:tblStylePr w:type="firstCol">
      <w:rPr>
        <w:b/>
        <w:bCs/>
        <w:i w:val="0"/>
        <w:iCs w:val="0"/>
        <w:color w:val="BDAF77" w:themeColor="background1"/>
      </w:rPr>
      <w:tblPr/>
      <w:tcPr>
        <w:tcBorders>
          <w:left w:val="single" w:sz="8" w:space="0" w:color="BDAF77" w:themeColor="background1"/>
          <w:right w:val="single" w:sz="24" w:space="0" w:color="BDAF77" w:themeColor="background1"/>
          <w:insideH w:val="nil"/>
          <w:insideV w:val="nil"/>
        </w:tcBorders>
        <w:shd w:val="clear" w:color="auto" w:fill="4C9880" w:themeFill="accent2"/>
      </w:tcPr>
    </w:tblStylePr>
    <w:tblStylePr w:type="lastCol">
      <w:rPr>
        <w:b/>
        <w:bCs/>
        <w:i w:val="0"/>
        <w:iCs w:val="0"/>
        <w:color w:val="BDAF77" w:themeColor="background1"/>
      </w:rPr>
      <w:tblPr/>
      <w:tcPr>
        <w:tcBorders>
          <w:top w:val="nil"/>
          <w:left w:val="single" w:sz="24" w:space="0" w:color="BDAF77" w:themeColor="background1"/>
          <w:bottom w:val="nil"/>
          <w:right w:val="nil"/>
          <w:insideH w:val="nil"/>
          <w:insideV w:val="nil"/>
        </w:tcBorders>
        <w:shd w:val="clear" w:color="auto" w:fill="4C9880" w:themeFill="accent2"/>
      </w:tcPr>
    </w:tblStylePr>
    <w:tblStylePr w:type="band1Vert">
      <w:tblPr/>
      <w:tcPr>
        <w:tc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nil"/>
          <w:insideV w:val="nil"/>
        </w:tcBorders>
        <w:shd w:val="clear" w:color="auto" w:fill="A1D0C1" w:themeFill="accent2" w:themeFillTint="7F"/>
      </w:tcPr>
    </w:tblStylePr>
    <w:tblStylePr w:type="band1Horz">
      <w:tblPr/>
      <w:tcPr>
        <w:tc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single" w:sz="8" w:space="0" w:color="BDAF77" w:themeColor="background1"/>
          <w:insideV w:val="single" w:sz="8" w:space="0" w:color="BDAF77" w:themeColor="background1"/>
        </w:tcBorders>
        <w:shd w:val="clear" w:color="auto" w:fill="A1D0C1" w:themeFill="accent2" w:themeFillTint="7F"/>
      </w:tcPr>
    </w:tblStylePr>
  </w:style>
  <w:style w:type="table" w:styleId="MediumGrid3-Accent3">
    <w:name w:val="Medium Grid 3 Accent 3"/>
    <w:basedOn w:val="TableNormal"/>
    <w:uiPriority w:val="69"/>
    <w:semiHidden/>
    <w:tblPr>
      <w:tblStyleRowBandSize w:val="1"/>
      <w:tblStyleColBandSize w:val="1"/>
      <w:tbl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single" w:sz="6" w:space="0" w:color="BDAF77" w:themeColor="background1"/>
        <w:insideV w:val="single" w:sz="6" w:space="0" w:color="BDAF77" w:themeColor="background1"/>
      </w:tblBorders>
    </w:tblPr>
    <w:tcPr>
      <w:shd w:val="clear" w:color="auto" w:fill="F6F4EE" w:themeFill="accent3" w:themeFillTint="3F"/>
    </w:tcPr>
    <w:tblStylePr w:type="firstRow">
      <w:rPr>
        <w:b/>
        <w:bCs/>
        <w:i w:val="0"/>
        <w:iCs w:val="0"/>
        <w:color w:val="BDAF77" w:themeColor="background1"/>
      </w:rPr>
      <w:tblPr/>
      <w:tcPr>
        <w:tcBorders>
          <w:top w:val="single" w:sz="8" w:space="0" w:color="BDAF77" w:themeColor="background1"/>
          <w:left w:val="single" w:sz="8" w:space="0" w:color="BDAF77" w:themeColor="background1"/>
          <w:bottom w:val="single" w:sz="24" w:space="0" w:color="BDAF77" w:themeColor="background1"/>
          <w:right w:val="single" w:sz="8" w:space="0" w:color="BDAF77" w:themeColor="background1"/>
          <w:insideH w:val="nil"/>
          <w:insideV w:val="single" w:sz="8" w:space="0" w:color="BDAF77" w:themeColor="background1"/>
        </w:tcBorders>
        <w:shd w:val="clear" w:color="auto" w:fill="DBD4BD" w:themeFill="accent3"/>
      </w:tcPr>
    </w:tblStylePr>
    <w:tblStylePr w:type="lastRow">
      <w:rPr>
        <w:b/>
        <w:bCs/>
        <w:i w:val="0"/>
        <w:iCs w:val="0"/>
        <w:color w:val="BDAF77" w:themeColor="background1"/>
      </w:rPr>
      <w:tblPr/>
      <w:tcPr>
        <w:tcBorders>
          <w:top w:val="single" w:sz="24" w:space="0" w:color="BDAF77" w:themeColor="background1"/>
          <w:left w:val="single" w:sz="8" w:space="0" w:color="BDAF77" w:themeColor="background1"/>
          <w:bottom w:val="single" w:sz="8" w:space="0" w:color="BDAF77" w:themeColor="background1"/>
          <w:right w:val="single" w:sz="8" w:space="0" w:color="BDAF77" w:themeColor="background1"/>
          <w:insideH w:val="nil"/>
          <w:insideV w:val="single" w:sz="8" w:space="0" w:color="BDAF77" w:themeColor="background1"/>
        </w:tcBorders>
        <w:shd w:val="clear" w:color="auto" w:fill="DBD4BD" w:themeFill="accent3"/>
      </w:tcPr>
    </w:tblStylePr>
    <w:tblStylePr w:type="firstCol">
      <w:rPr>
        <w:b/>
        <w:bCs/>
        <w:i w:val="0"/>
        <w:iCs w:val="0"/>
        <w:color w:val="BDAF77" w:themeColor="background1"/>
      </w:rPr>
      <w:tblPr/>
      <w:tcPr>
        <w:tcBorders>
          <w:left w:val="single" w:sz="8" w:space="0" w:color="BDAF77" w:themeColor="background1"/>
          <w:right w:val="single" w:sz="24" w:space="0" w:color="BDAF77" w:themeColor="background1"/>
          <w:insideH w:val="nil"/>
          <w:insideV w:val="nil"/>
        </w:tcBorders>
        <w:shd w:val="clear" w:color="auto" w:fill="DBD4BD" w:themeFill="accent3"/>
      </w:tcPr>
    </w:tblStylePr>
    <w:tblStylePr w:type="lastCol">
      <w:rPr>
        <w:b/>
        <w:bCs/>
        <w:i w:val="0"/>
        <w:iCs w:val="0"/>
        <w:color w:val="BDAF77" w:themeColor="background1"/>
      </w:rPr>
      <w:tblPr/>
      <w:tcPr>
        <w:tcBorders>
          <w:top w:val="nil"/>
          <w:left w:val="single" w:sz="24" w:space="0" w:color="BDAF77" w:themeColor="background1"/>
          <w:bottom w:val="nil"/>
          <w:right w:val="nil"/>
          <w:insideH w:val="nil"/>
          <w:insideV w:val="nil"/>
        </w:tcBorders>
        <w:shd w:val="clear" w:color="auto" w:fill="DBD4BD" w:themeFill="accent3"/>
      </w:tcPr>
    </w:tblStylePr>
    <w:tblStylePr w:type="band1Vert">
      <w:tblPr/>
      <w:tcPr>
        <w:tc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nil"/>
          <w:insideV w:val="nil"/>
        </w:tcBorders>
        <w:shd w:val="clear" w:color="auto" w:fill="EDE9DE" w:themeFill="accent3" w:themeFillTint="7F"/>
      </w:tcPr>
    </w:tblStylePr>
    <w:tblStylePr w:type="band1Horz">
      <w:tblPr/>
      <w:tcPr>
        <w:tc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single" w:sz="8" w:space="0" w:color="BDAF77" w:themeColor="background1"/>
          <w:insideV w:val="single" w:sz="8" w:space="0" w:color="BDAF77" w:themeColor="background1"/>
        </w:tcBorders>
        <w:shd w:val="clear" w:color="auto" w:fill="EDE9DE" w:themeFill="accent3" w:themeFillTint="7F"/>
      </w:tcPr>
    </w:tblStylePr>
  </w:style>
  <w:style w:type="table" w:styleId="MediumGrid3-Accent4">
    <w:name w:val="Medium Grid 3 Accent 4"/>
    <w:basedOn w:val="TableNormal"/>
    <w:uiPriority w:val="69"/>
    <w:semiHidden/>
    <w:tblPr>
      <w:tblStyleRowBandSize w:val="1"/>
      <w:tblStyleColBandSize w:val="1"/>
      <w:tbl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single" w:sz="6" w:space="0" w:color="BDAF77" w:themeColor="background1"/>
        <w:insideV w:val="single" w:sz="6" w:space="0" w:color="BDAF77" w:themeColor="background1"/>
      </w:tblBorders>
    </w:tblPr>
    <w:tcPr>
      <w:shd w:val="clear" w:color="auto" w:fill="C0C0C0" w:themeFill="accent4" w:themeFillTint="3F"/>
    </w:tcPr>
    <w:tblStylePr w:type="firstRow">
      <w:rPr>
        <w:b/>
        <w:bCs/>
        <w:i w:val="0"/>
        <w:iCs w:val="0"/>
        <w:color w:val="BDAF77" w:themeColor="background1"/>
      </w:rPr>
      <w:tblPr/>
      <w:tcPr>
        <w:tcBorders>
          <w:top w:val="single" w:sz="8" w:space="0" w:color="BDAF77" w:themeColor="background1"/>
          <w:left w:val="single" w:sz="8" w:space="0" w:color="BDAF77" w:themeColor="background1"/>
          <w:bottom w:val="single" w:sz="24" w:space="0" w:color="BDAF77" w:themeColor="background1"/>
          <w:right w:val="single" w:sz="8" w:space="0" w:color="BDAF77" w:themeColor="background1"/>
          <w:insideH w:val="nil"/>
          <w:insideV w:val="single" w:sz="8" w:space="0" w:color="BDAF77" w:themeColor="background1"/>
        </w:tcBorders>
        <w:shd w:val="clear" w:color="auto" w:fill="000000" w:themeFill="accent4"/>
      </w:tcPr>
    </w:tblStylePr>
    <w:tblStylePr w:type="lastRow">
      <w:rPr>
        <w:b/>
        <w:bCs/>
        <w:i w:val="0"/>
        <w:iCs w:val="0"/>
        <w:color w:val="BDAF77" w:themeColor="background1"/>
      </w:rPr>
      <w:tblPr/>
      <w:tcPr>
        <w:tcBorders>
          <w:top w:val="single" w:sz="24" w:space="0" w:color="BDAF77" w:themeColor="background1"/>
          <w:left w:val="single" w:sz="8" w:space="0" w:color="BDAF77" w:themeColor="background1"/>
          <w:bottom w:val="single" w:sz="8" w:space="0" w:color="BDAF77" w:themeColor="background1"/>
          <w:right w:val="single" w:sz="8" w:space="0" w:color="BDAF77" w:themeColor="background1"/>
          <w:insideH w:val="nil"/>
          <w:insideV w:val="single" w:sz="8" w:space="0" w:color="BDAF77" w:themeColor="background1"/>
        </w:tcBorders>
        <w:shd w:val="clear" w:color="auto" w:fill="000000" w:themeFill="accent4"/>
      </w:tcPr>
    </w:tblStylePr>
    <w:tblStylePr w:type="firstCol">
      <w:rPr>
        <w:b/>
        <w:bCs/>
        <w:i w:val="0"/>
        <w:iCs w:val="0"/>
        <w:color w:val="BDAF77" w:themeColor="background1"/>
      </w:rPr>
      <w:tblPr/>
      <w:tcPr>
        <w:tcBorders>
          <w:left w:val="single" w:sz="8" w:space="0" w:color="BDAF77" w:themeColor="background1"/>
          <w:right w:val="single" w:sz="24" w:space="0" w:color="BDAF77" w:themeColor="background1"/>
          <w:insideH w:val="nil"/>
          <w:insideV w:val="nil"/>
        </w:tcBorders>
        <w:shd w:val="clear" w:color="auto" w:fill="000000" w:themeFill="accent4"/>
      </w:tcPr>
    </w:tblStylePr>
    <w:tblStylePr w:type="lastCol">
      <w:rPr>
        <w:b/>
        <w:bCs/>
        <w:i w:val="0"/>
        <w:iCs w:val="0"/>
        <w:color w:val="BDAF77" w:themeColor="background1"/>
      </w:rPr>
      <w:tblPr/>
      <w:tcPr>
        <w:tcBorders>
          <w:top w:val="nil"/>
          <w:left w:val="single" w:sz="24" w:space="0" w:color="BDAF77" w:themeColor="background1"/>
          <w:bottom w:val="nil"/>
          <w:right w:val="nil"/>
          <w:insideH w:val="nil"/>
          <w:insideV w:val="nil"/>
        </w:tcBorders>
        <w:shd w:val="clear" w:color="auto" w:fill="000000" w:themeFill="accent4"/>
      </w:tcPr>
    </w:tblStylePr>
    <w:tblStylePr w:type="band1Vert">
      <w:tblPr/>
      <w:tcPr>
        <w:tc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nil"/>
          <w:insideV w:val="nil"/>
        </w:tcBorders>
        <w:shd w:val="clear" w:color="auto" w:fill="808080" w:themeFill="accent4" w:themeFillTint="7F"/>
      </w:tcPr>
    </w:tblStylePr>
    <w:tblStylePr w:type="band1Horz">
      <w:tblPr/>
      <w:tcPr>
        <w:tc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single" w:sz="8" w:space="0" w:color="BDAF77" w:themeColor="background1"/>
          <w:insideV w:val="single" w:sz="8" w:space="0" w:color="BDAF77" w:themeColor="background1"/>
        </w:tcBorders>
        <w:shd w:val="clear" w:color="auto" w:fill="808080" w:themeFill="accent4" w:themeFillTint="7F"/>
      </w:tcPr>
    </w:tblStylePr>
  </w:style>
  <w:style w:type="table" w:styleId="MediumGrid3-Accent5">
    <w:name w:val="Medium Grid 3 Accent 5"/>
    <w:basedOn w:val="TableNormal"/>
    <w:uiPriority w:val="69"/>
    <w:semiHidden/>
    <w:tblPr>
      <w:tblStyleRowBandSize w:val="1"/>
      <w:tblStyleColBandSize w:val="1"/>
      <w:tbl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single" w:sz="6" w:space="0" w:color="BDAF77" w:themeColor="background1"/>
        <w:insideV w:val="single" w:sz="6" w:space="0" w:color="BDAF77" w:themeColor="background1"/>
      </w:tblBorders>
    </w:tblPr>
    <w:tcPr>
      <w:shd w:val="clear" w:color="auto" w:fill="EFF6EB" w:themeFill="accent5" w:themeFillTint="3F"/>
    </w:tcPr>
    <w:tblStylePr w:type="firstRow">
      <w:rPr>
        <w:b/>
        <w:bCs/>
        <w:i w:val="0"/>
        <w:iCs w:val="0"/>
        <w:color w:val="BDAF77" w:themeColor="background1"/>
      </w:rPr>
      <w:tblPr/>
      <w:tcPr>
        <w:tcBorders>
          <w:top w:val="single" w:sz="8" w:space="0" w:color="BDAF77" w:themeColor="background1"/>
          <w:left w:val="single" w:sz="8" w:space="0" w:color="BDAF77" w:themeColor="background1"/>
          <w:bottom w:val="single" w:sz="24" w:space="0" w:color="BDAF77" w:themeColor="background1"/>
          <w:right w:val="single" w:sz="8" w:space="0" w:color="BDAF77" w:themeColor="background1"/>
          <w:insideH w:val="nil"/>
          <w:insideV w:val="single" w:sz="8" w:space="0" w:color="BDAF77" w:themeColor="background1"/>
        </w:tcBorders>
        <w:shd w:val="clear" w:color="auto" w:fill="BFDDB0" w:themeFill="accent5"/>
      </w:tcPr>
    </w:tblStylePr>
    <w:tblStylePr w:type="lastRow">
      <w:rPr>
        <w:b/>
        <w:bCs/>
        <w:i w:val="0"/>
        <w:iCs w:val="0"/>
        <w:color w:val="BDAF77" w:themeColor="background1"/>
      </w:rPr>
      <w:tblPr/>
      <w:tcPr>
        <w:tcBorders>
          <w:top w:val="single" w:sz="24" w:space="0" w:color="BDAF77" w:themeColor="background1"/>
          <w:left w:val="single" w:sz="8" w:space="0" w:color="BDAF77" w:themeColor="background1"/>
          <w:bottom w:val="single" w:sz="8" w:space="0" w:color="BDAF77" w:themeColor="background1"/>
          <w:right w:val="single" w:sz="8" w:space="0" w:color="BDAF77" w:themeColor="background1"/>
          <w:insideH w:val="nil"/>
          <w:insideV w:val="single" w:sz="8" w:space="0" w:color="BDAF77" w:themeColor="background1"/>
        </w:tcBorders>
        <w:shd w:val="clear" w:color="auto" w:fill="BFDDB0" w:themeFill="accent5"/>
      </w:tcPr>
    </w:tblStylePr>
    <w:tblStylePr w:type="firstCol">
      <w:rPr>
        <w:b/>
        <w:bCs/>
        <w:i w:val="0"/>
        <w:iCs w:val="0"/>
        <w:color w:val="BDAF77" w:themeColor="background1"/>
      </w:rPr>
      <w:tblPr/>
      <w:tcPr>
        <w:tcBorders>
          <w:left w:val="single" w:sz="8" w:space="0" w:color="BDAF77" w:themeColor="background1"/>
          <w:right w:val="single" w:sz="24" w:space="0" w:color="BDAF77" w:themeColor="background1"/>
          <w:insideH w:val="nil"/>
          <w:insideV w:val="nil"/>
        </w:tcBorders>
        <w:shd w:val="clear" w:color="auto" w:fill="BFDDB0" w:themeFill="accent5"/>
      </w:tcPr>
    </w:tblStylePr>
    <w:tblStylePr w:type="lastCol">
      <w:rPr>
        <w:b/>
        <w:bCs/>
        <w:i w:val="0"/>
        <w:iCs w:val="0"/>
        <w:color w:val="BDAF77" w:themeColor="background1"/>
      </w:rPr>
      <w:tblPr/>
      <w:tcPr>
        <w:tcBorders>
          <w:top w:val="nil"/>
          <w:left w:val="single" w:sz="24" w:space="0" w:color="BDAF77" w:themeColor="background1"/>
          <w:bottom w:val="nil"/>
          <w:right w:val="nil"/>
          <w:insideH w:val="nil"/>
          <w:insideV w:val="nil"/>
        </w:tcBorders>
        <w:shd w:val="clear" w:color="auto" w:fill="BFDDB0" w:themeFill="accent5"/>
      </w:tcPr>
    </w:tblStylePr>
    <w:tblStylePr w:type="band1Vert">
      <w:tblPr/>
      <w:tcPr>
        <w:tc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nil"/>
          <w:insideV w:val="nil"/>
        </w:tcBorders>
        <w:shd w:val="clear" w:color="auto" w:fill="DFEED7" w:themeFill="accent5" w:themeFillTint="7F"/>
      </w:tcPr>
    </w:tblStylePr>
    <w:tblStylePr w:type="band1Horz">
      <w:tblPr/>
      <w:tcPr>
        <w:tc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single" w:sz="8" w:space="0" w:color="BDAF77" w:themeColor="background1"/>
          <w:insideV w:val="single" w:sz="8" w:space="0" w:color="BDAF77" w:themeColor="background1"/>
        </w:tcBorders>
        <w:shd w:val="clear" w:color="auto" w:fill="DFEED7" w:themeFill="accent5" w:themeFillTint="7F"/>
      </w:tcPr>
    </w:tblStylePr>
  </w:style>
  <w:style w:type="table" w:styleId="MediumGrid3-Accent6">
    <w:name w:val="Medium Grid 3 Accent 6"/>
    <w:basedOn w:val="TableNormal"/>
    <w:uiPriority w:val="69"/>
    <w:semiHidden/>
    <w:tblPr>
      <w:tblStyleRowBandSize w:val="1"/>
      <w:tblStyleColBandSize w:val="1"/>
      <w:tbl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single" w:sz="6" w:space="0" w:color="BDAF77" w:themeColor="background1"/>
        <w:insideV w:val="single" w:sz="6" w:space="0" w:color="BDAF77" w:themeColor="background1"/>
      </w:tblBorders>
    </w:tblPr>
    <w:tcPr>
      <w:shd w:val="clear" w:color="auto" w:fill="CCE6DD" w:themeFill="accent6" w:themeFillTint="3F"/>
    </w:tcPr>
    <w:tblStylePr w:type="firstRow">
      <w:rPr>
        <w:b/>
        <w:bCs/>
        <w:i w:val="0"/>
        <w:iCs w:val="0"/>
        <w:color w:val="BDAF77" w:themeColor="background1"/>
      </w:rPr>
      <w:tblPr/>
      <w:tcPr>
        <w:tcBorders>
          <w:top w:val="single" w:sz="8" w:space="0" w:color="BDAF77" w:themeColor="background1"/>
          <w:left w:val="single" w:sz="8" w:space="0" w:color="BDAF77" w:themeColor="background1"/>
          <w:bottom w:val="single" w:sz="24" w:space="0" w:color="BDAF77" w:themeColor="background1"/>
          <w:right w:val="single" w:sz="8" w:space="0" w:color="BDAF77" w:themeColor="background1"/>
          <w:insideH w:val="nil"/>
          <w:insideV w:val="single" w:sz="8" w:space="0" w:color="BDAF77" w:themeColor="background1"/>
        </w:tcBorders>
        <w:shd w:val="clear" w:color="auto" w:fill="448973" w:themeFill="accent6"/>
      </w:tcPr>
    </w:tblStylePr>
    <w:tblStylePr w:type="lastRow">
      <w:rPr>
        <w:b/>
        <w:bCs/>
        <w:i w:val="0"/>
        <w:iCs w:val="0"/>
        <w:color w:val="BDAF77" w:themeColor="background1"/>
      </w:rPr>
      <w:tblPr/>
      <w:tcPr>
        <w:tcBorders>
          <w:top w:val="single" w:sz="24" w:space="0" w:color="BDAF77" w:themeColor="background1"/>
          <w:left w:val="single" w:sz="8" w:space="0" w:color="BDAF77" w:themeColor="background1"/>
          <w:bottom w:val="single" w:sz="8" w:space="0" w:color="BDAF77" w:themeColor="background1"/>
          <w:right w:val="single" w:sz="8" w:space="0" w:color="BDAF77" w:themeColor="background1"/>
          <w:insideH w:val="nil"/>
          <w:insideV w:val="single" w:sz="8" w:space="0" w:color="BDAF77" w:themeColor="background1"/>
        </w:tcBorders>
        <w:shd w:val="clear" w:color="auto" w:fill="448973" w:themeFill="accent6"/>
      </w:tcPr>
    </w:tblStylePr>
    <w:tblStylePr w:type="firstCol">
      <w:rPr>
        <w:b/>
        <w:bCs/>
        <w:i w:val="0"/>
        <w:iCs w:val="0"/>
        <w:color w:val="BDAF77" w:themeColor="background1"/>
      </w:rPr>
      <w:tblPr/>
      <w:tcPr>
        <w:tcBorders>
          <w:left w:val="single" w:sz="8" w:space="0" w:color="BDAF77" w:themeColor="background1"/>
          <w:right w:val="single" w:sz="24" w:space="0" w:color="BDAF77" w:themeColor="background1"/>
          <w:insideH w:val="nil"/>
          <w:insideV w:val="nil"/>
        </w:tcBorders>
        <w:shd w:val="clear" w:color="auto" w:fill="448973" w:themeFill="accent6"/>
      </w:tcPr>
    </w:tblStylePr>
    <w:tblStylePr w:type="lastCol">
      <w:rPr>
        <w:b/>
        <w:bCs/>
        <w:i w:val="0"/>
        <w:iCs w:val="0"/>
        <w:color w:val="BDAF77" w:themeColor="background1"/>
      </w:rPr>
      <w:tblPr/>
      <w:tcPr>
        <w:tcBorders>
          <w:top w:val="nil"/>
          <w:left w:val="single" w:sz="24" w:space="0" w:color="BDAF77" w:themeColor="background1"/>
          <w:bottom w:val="nil"/>
          <w:right w:val="nil"/>
          <w:insideH w:val="nil"/>
          <w:insideV w:val="nil"/>
        </w:tcBorders>
        <w:shd w:val="clear" w:color="auto" w:fill="448973" w:themeFill="accent6"/>
      </w:tcPr>
    </w:tblStylePr>
    <w:tblStylePr w:type="band1Vert">
      <w:tblPr/>
      <w:tcPr>
        <w:tc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nil"/>
          <w:insideV w:val="nil"/>
        </w:tcBorders>
        <w:shd w:val="clear" w:color="auto" w:fill="99CCBC" w:themeFill="accent6" w:themeFillTint="7F"/>
      </w:tcPr>
    </w:tblStylePr>
    <w:tblStylePr w:type="band1Horz">
      <w:tblPr/>
      <w:tcPr>
        <w:tcBorders>
          <w:top w:val="single" w:sz="8" w:space="0" w:color="BDAF77" w:themeColor="background1"/>
          <w:left w:val="single" w:sz="8" w:space="0" w:color="BDAF77" w:themeColor="background1"/>
          <w:bottom w:val="single" w:sz="8" w:space="0" w:color="BDAF77" w:themeColor="background1"/>
          <w:right w:val="single" w:sz="8" w:space="0" w:color="BDAF77" w:themeColor="background1"/>
          <w:insideH w:val="single" w:sz="8" w:space="0" w:color="BDAF77" w:themeColor="background1"/>
          <w:insideV w:val="single" w:sz="8" w:space="0" w:color="BDAF77" w:themeColor="background1"/>
        </w:tcBorders>
        <w:shd w:val="clear" w:color="auto" w:fill="99CCBC" w:themeFill="accent6" w:themeFillTint="7F"/>
      </w:tcPr>
    </w:tblStylePr>
  </w:style>
  <w:style w:type="table" w:styleId="MediumList1">
    <w:name w:val="Medium List 1"/>
    <w:basedOn w:val="TableNormal"/>
    <w:uiPriority w:val="65"/>
    <w:semiHidden/>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2175E"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Pr>
      <w:color w:val="000000" w:themeColor="text1"/>
    </w:rPr>
    <w:tblPr>
      <w:tblStyleRowBandSize w:val="1"/>
      <w:tblStyleColBandSize w:val="1"/>
      <w:tblBorders>
        <w:top w:val="single" w:sz="8" w:space="0" w:color="7BC143" w:themeColor="accent1"/>
        <w:bottom w:val="single" w:sz="8" w:space="0" w:color="7BC143" w:themeColor="accent1"/>
      </w:tblBorders>
    </w:tblPr>
    <w:tblStylePr w:type="firstRow">
      <w:rPr>
        <w:rFonts w:asciiTheme="majorHAnsi" w:eastAsiaTheme="majorEastAsia" w:hAnsiTheme="majorHAnsi" w:cstheme="majorBidi"/>
      </w:rPr>
      <w:tblPr/>
      <w:tcPr>
        <w:tcBorders>
          <w:top w:val="nil"/>
          <w:bottom w:val="single" w:sz="8" w:space="0" w:color="7BC143" w:themeColor="accent1"/>
        </w:tcBorders>
      </w:tcPr>
    </w:tblStylePr>
    <w:tblStylePr w:type="lastRow">
      <w:rPr>
        <w:b/>
        <w:bCs/>
        <w:color w:val="12175E" w:themeColor="text2"/>
      </w:rPr>
      <w:tblPr/>
      <w:tcPr>
        <w:tcBorders>
          <w:top w:val="single" w:sz="8" w:space="0" w:color="7BC143" w:themeColor="accent1"/>
          <w:bottom w:val="single" w:sz="8" w:space="0" w:color="7BC143" w:themeColor="accent1"/>
        </w:tcBorders>
      </w:tcPr>
    </w:tblStylePr>
    <w:tblStylePr w:type="firstCol">
      <w:rPr>
        <w:b/>
        <w:bCs/>
      </w:rPr>
    </w:tblStylePr>
    <w:tblStylePr w:type="lastCol">
      <w:rPr>
        <w:b/>
        <w:bCs/>
      </w:rPr>
      <w:tblPr/>
      <w:tcPr>
        <w:tcBorders>
          <w:top w:val="single" w:sz="8" w:space="0" w:color="7BC143" w:themeColor="accent1"/>
          <w:bottom w:val="single" w:sz="8" w:space="0" w:color="7BC143" w:themeColor="accent1"/>
        </w:tcBorders>
      </w:tcPr>
    </w:tblStylePr>
    <w:tblStylePr w:type="band1Vert">
      <w:tblPr/>
      <w:tcPr>
        <w:shd w:val="clear" w:color="auto" w:fill="DEEFD0" w:themeFill="accent1" w:themeFillTint="3F"/>
      </w:tcPr>
    </w:tblStylePr>
    <w:tblStylePr w:type="band1Horz">
      <w:tblPr/>
      <w:tcPr>
        <w:shd w:val="clear" w:color="auto" w:fill="DEEFD0" w:themeFill="accent1" w:themeFillTint="3F"/>
      </w:tcPr>
    </w:tblStylePr>
  </w:style>
  <w:style w:type="table" w:styleId="MediumList1-Accent2">
    <w:name w:val="Medium List 1 Accent 2"/>
    <w:basedOn w:val="TableNormal"/>
    <w:uiPriority w:val="65"/>
    <w:semiHidden/>
    <w:rPr>
      <w:color w:val="000000" w:themeColor="text1"/>
    </w:rPr>
    <w:tblPr>
      <w:tblStyleRowBandSize w:val="1"/>
      <w:tblStyleColBandSize w:val="1"/>
      <w:tblBorders>
        <w:top w:val="single" w:sz="8" w:space="0" w:color="4C9880" w:themeColor="accent2"/>
        <w:bottom w:val="single" w:sz="8" w:space="0" w:color="4C9880" w:themeColor="accent2"/>
      </w:tblBorders>
    </w:tblPr>
    <w:tblStylePr w:type="firstRow">
      <w:rPr>
        <w:rFonts w:asciiTheme="majorHAnsi" w:eastAsiaTheme="majorEastAsia" w:hAnsiTheme="majorHAnsi" w:cstheme="majorBidi"/>
      </w:rPr>
      <w:tblPr/>
      <w:tcPr>
        <w:tcBorders>
          <w:top w:val="nil"/>
          <w:bottom w:val="single" w:sz="8" w:space="0" w:color="4C9880" w:themeColor="accent2"/>
        </w:tcBorders>
      </w:tcPr>
    </w:tblStylePr>
    <w:tblStylePr w:type="lastRow">
      <w:rPr>
        <w:b/>
        <w:bCs/>
        <w:color w:val="12175E" w:themeColor="text2"/>
      </w:rPr>
      <w:tblPr/>
      <w:tcPr>
        <w:tcBorders>
          <w:top w:val="single" w:sz="8" w:space="0" w:color="4C9880" w:themeColor="accent2"/>
          <w:bottom w:val="single" w:sz="8" w:space="0" w:color="4C9880" w:themeColor="accent2"/>
        </w:tcBorders>
      </w:tcPr>
    </w:tblStylePr>
    <w:tblStylePr w:type="firstCol">
      <w:rPr>
        <w:b/>
        <w:bCs/>
      </w:rPr>
    </w:tblStylePr>
    <w:tblStylePr w:type="lastCol">
      <w:rPr>
        <w:b/>
        <w:bCs/>
      </w:rPr>
      <w:tblPr/>
      <w:tcPr>
        <w:tcBorders>
          <w:top w:val="single" w:sz="8" w:space="0" w:color="4C9880" w:themeColor="accent2"/>
          <w:bottom w:val="single" w:sz="8" w:space="0" w:color="4C9880" w:themeColor="accent2"/>
        </w:tcBorders>
      </w:tcPr>
    </w:tblStylePr>
    <w:tblStylePr w:type="band1Vert">
      <w:tblPr/>
      <w:tcPr>
        <w:shd w:val="clear" w:color="auto" w:fill="D0E7E0" w:themeFill="accent2" w:themeFillTint="3F"/>
      </w:tcPr>
    </w:tblStylePr>
    <w:tblStylePr w:type="band1Horz">
      <w:tblPr/>
      <w:tcPr>
        <w:shd w:val="clear" w:color="auto" w:fill="D0E7E0" w:themeFill="accent2" w:themeFillTint="3F"/>
      </w:tcPr>
    </w:tblStylePr>
  </w:style>
  <w:style w:type="table" w:styleId="MediumList1-Accent3">
    <w:name w:val="Medium List 1 Accent 3"/>
    <w:basedOn w:val="TableNormal"/>
    <w:uiPriority w:val="65"/>
    <w:semiHidden/>
    <w:rPr>
      <w:color w:val="000000" w:themeColor="text1"/>
    </w:rPr>
    <w:tblPr>
      <w:tblStyleRowBandSize w:val="1"/>
      <w:tblStyleColBandSize w:val="1"/>
      <w:tblBorders>
        <w:top w:val="single" w:sz="8" w:space="0" w:color="DBD4BD" w:themeColor="accent3"/>
        <w:bottom w:val="single" w:sz="8" w:space="0" w:color="DBD4BD" w:themeColor="accent3"/>
      </w:tblBorders>
    </w:tblPr>
    <w:tblStylePr w:type="firstRow">
      <w:rPr>
        <w:rFonts w:asciiTheme="majorHAnsi" w:eastAsiaTheme="majorEastAsia" w:hAnsiTheme="majorHAnsi" w:cstheme="majorBidi"/>
      </w:rPr>
      <w:tblPr/>
      <w:tcPr>
        <w:tcBorders>
          <w:top w:val="nil"/>
          <w:bottom w:val="single" w:sz="8" w:space="0" w:color="DBD4BD" w:themeColor="accent3"/>
        </w:tcBorders>
      </w:tcPr>
    </w:tblStylePr>
    <w:tblStylePr w:type="lastRow">
      <w:rPr>
        <w:b/>
        <w:bCs/>
        <w:color w:val="12175E" w:themeColor="text2"/>
      </w:rPr>
      <w:tblPr/>
      <w:tcPr>
        <w:tcBorders>
          <w:top w:val="single" w:sz="8" w:space="0" w:color="DBD4BD" w:themeColor="accent3"/>
          <w:bottom w:val="single" w:sz="8" w:space="0" w:color="DBD4BD" w:themeColor="accent3"/>
        </w:tcBorders>
      </w:tcPr>
    </w:tblStylePr>
    <w:tblStylePr w:type="firstCol">
      <w:rPr>
        <w:b/>
        <w:bCs/>
      </w:rPr>
    </w:tblStylePr>
    <w:tblStylePr w:type="lastCol">
      <w:rPr>
        <w:b/>
        <w:bCs/>
      </w:rPr>
      <w:tblPr/>
      <w:tcPr>
        <w:tcBorders>
          <w:top w:val="single" w:sz="8" w:space="0" w:color="DBD4BD" w:themeColor="accent3"/>
          <w:bottom w:val="single" w:sz="8" w:space="0" w:color="DBD4BD" w:themeColor="accent3"/>
        </w:tcBorders>
      </w:tcPr>
    </w:tblStylePr>
    <w:tblStylePr w:type="band1Vert">
      <w:tblPr/>
      <w:tcPr>
        <w:shd w:val="clear" w:color="auto" w:fill="F6F4EE" w:themeFill="accent3" w:themeFillTint="3F"/>
      </w:tcPr>
    </w:tblStylePr>
    <w:tblStylePr w:type="band1Horz">
      <w:tblPr/>
      <w:tcPr>
        <w:shd w:val="clear" w:color="auto" w:fill="F6F4EE" w:themeFill="accent3" w:themeFillTint="3F"/>
      </w:tcPr>
    </w:tblStylePr>
  </w:style>
  <w:style w:type="table" w:styleId="MediumList1-Accent4">
    <w:name w:val="Medium List 1 Accent 4"/>
    <w:basedOn w:val="TableNormal"/>
    <w:uiPriority w:val="65"/>
    <w:semiHidden/>
    <w:rPr>
      <w:color w:val="000000" w:themeColor="text1"/>
    </w:rPr>
    <w:tblPr>
      <w:tblStyleRowBandSize w:val="1"/>
      <w:tblStyleColBandSize w:val="1"/>
      <w:tblBorders>
        <w:top w:val="single" w:sz="8" w:space="0" w:color="000000" w:themeColor="accent4"/>
        <w:bottom w:val="single" w:sz="8" w:space="0" w:color="000000" w:themeColor="accent4"/>
      </w:tblBorders>
    </w:tblPr>
    <w:tblStylePr w:type="firstRow">
      <w:rPr>
        <w:rFonts w:asciiTheme="majorHAnsi" w:eastAsiaTheme="majorEastAsia" w:hAnsiTheme="majorHAnsi" w:cstheme="majorBidi"/>
      </w:rPr>
      <w:tblPr/>
      <w:tcPr>
        <w:tcBorders>
          <w:top w:val="nil"/>
          <w:bottom w:val="single" w:sz="8" w:space="0" w:color="000000" w:themeColor="accent4"/>
        </w:tcBorders>
      </w:tcPr>
    </w:tblStylePr>
    <w:tblStylePr w:type="lastRow">
      <w:rPr>
        <w:b/>
        <w:bCs/>
        <w:color w:val="12175E" w:themeColor="text2"/>
      </w:rPr>
      <w:tblPr/>
      <w:tcPr>
        <w:tcBorders>
          <w:top w:val="single" w:sz="8" w:space="0" w:color="000000" w:themeColor="accent4"/>
          <w:bottom w:val="single" w:sz="8" w:space="0" w:color="000000" w:themeColor="accent4"/>
        </w:tcBorders>
      </w:tcPr>
    </w:tblStylePr>
    <w:tblStylePr w:type="firstCol">
      <w:rPr>
        <w:b/>
        <w:bCs/>
      </w:rPr>
    </w:tblStylePr>
    <w:tblStylePr w:type="lastCol">
      <w:rPr>
        <w:b/>
        <w:bCs/>
      </w:rPr>
      <w:tblPr/>
      <w:tcPr>
        <w:tcBorders>
          <w:top w:val="single" w:sz="8" w:space="0" w:color="000000" w:themeColor="accent4"/>
          <w:bottom w:val="single" w:sz="8" w:space="0" w:color="000000" w:themeColor="accent4"/>
        </w:tcBorders>
      </w:tcPr>
    </w:tblStylePr>
    <w:tblStylePr w:type="band1Vert">
      <w:tblPr/>
      <w:tcPr>
        <w:shd w:val="clear" w:color="auto" w:fill="C0C0C0" w:themeFill="accent4" w:themeFillTint="3F"/>
      </w:tcPr>
    </w:tblStylePr>
    <w:tblStylePr w:type="band1Horz">
      <w:tblPr/>
      <w:tcPr>
        <w:shd w:val="clear" w:color="auto" w:fill="C0C0C0" w:themeFill="accent4" w:themeFillTint="3F"/>
      </w:tcPr>
    </w:tblStylePr>
  </w:style>
  <w:style w:type="table" w:styleId="MediumList1-Accent5">
    <w:name w:val="Medium List 1 Accent 5"/>
    <w:basedOn w:val="TableNormal"/>
    <w:uiPriority w:val="65"/>
    <w:semiHidden/>
    <w:rPr>
      <w:color w:val="000000" w:themeColor="text1"/>
    </w:rPr>
    <w:tblPr>
      <w:tblStyleRowBandSize w:val="1"/>
      <w:tblStyleColBandSize w:val="1"/>
      <w:tblBorders>
        <w:top w:val="single" w:sz="8" w:space="0" w:color="BFDDB0" w:themeColor="accent5"/>
        <w:bottom w:val="single" w:sz="8" w:space="0" w:color="BFDDB0" w:themeColor="accent5"/>
      </w:tblBorders>
    </w:tblPr>
    <w:tblStylePr w:type="firstRow">
      <w:rPr>
        <w:rFonts w:asciiTheme="majorHAnsi" w:eastAsiaTheme="majorEastAsia" w:hAnsiTheme="majorHAnsi" w:cstheme="majorBidi"/>
      </w:rPr>
      <w:tblPr/>
      <w:tcPr>
        <w:tcBorders>
          <w:top w:val="nil"/>
          <w:bottom w:val="single" w:sz="8" w:space="0" w:color="BFDDB0" w:themeColor="accent5"/>
        </w:tcBorders>
      </w:tcPr>
    </w:tblStylePr>
    <w:tblStylePr w:type="lastRow">
      <w:rPr>
        <w:b/>
        <w:bCs/>
        <w:color w:val="12175E" w:themeColor="text2"/>
      </w:rPr>
      <w:tblPr/>
      <w:tcPr>
        <w:tcBorders>
          <w:top w:val="single" w:sz="8" w:space="0" w:color="BFDDB0" w:themeColor="accent5"/>
          <w:bottom w:val="single" w:sz="8" w:space="0" w:color="BFDDB0" w:themeColor="accent5"/>
        </w:tcBorders>
      </w:tcPr>
    </w:tblStylePr>
    <w:tblStylePr w:type="firstCol">
      <w:rPr>
        <w:b/>
        <w:bCs/>
      </w:rPr>
    </w:tblStylePr>
    <w:tblStylePr w:type="lastCol">
      <w:rPr>
        <w:b/>
        <w:bCs/>
      </w:rPr>
      <w:tblPr/>
      <w:tcPr>
        <w:tcBorders>
          <w:top w:val="single" w:sz="8" w:space="0" w:color="BFDDB0" w:themeColor="accent5"/>
          <w:bottom w:val="single" w:sz="8" w:space="0" w:color="BFDDB0" w:themeColor="accent5"/>
        </w:tcBorders>
      </w:tcPr>
    </w:tblStylePr>
    <w:tblStylePr w:type="band1Vert">
      <w:tblPr/>
      <w:tcPr>
        <w:shd w:val="clear" w:color="auto" w:fill="EFF6EB" w:themeFill="accent5" w:themeFillTint="3F"/>
      </w:tcPr>
    </w:tblStylePr>
    <w:tblStylePr w:type="band1Horz">
      <w:tblPr/>
      <w:tcPr>
        <w:shd w:val="clear" w:color="auto" w:fill="EFF6EB" w:themeFill="accent5" w:themeFillTint="3F"/>
      </w:tcPr>
    </w:tblStylePr>
  </w:style>
  <w:style w:type="table" w:styleId="MediumList1-Accent6">
    <w:name w:val="Medium List 1 Accent 6"/>
    <w:basedOn w:val="TableNormal"/>
    <w:uiPriority w:val="65"/>
    <w:semiHidden/>
    <w:rPr>
      <w:color w:val="000000" w:themeColor="text1"/>
    </w:rPr>
    <w:tblPr>
      <w:tblStyleRowBandSize w:val="1"/>
      <w:tblStyleColBandSize w:val="1"/>
      <w:tblBorders>
        <w:top w:val="single" w:sz="8" w:space="0" w:color="448973" w:themeColor="accent6"/>
        <w:bottom w:val="single" w:sz="8" w:space="0" w:color="448973" w:themeColor="accent6"/>
      </w:tblBorders>
    </w:tblPr>
    <w:tblStylePr w:type="firstRow">
      <w:rPr>
        <w:rFonts w:asciiTheme="majorHAnsi" w:eastAsiaTheme="majorEastAsia" w:hAnsiTheme="majorHAnsi" w:cstheme="majorBidi"/>
      </w:rPr>
      <w:tblPr/>
      <w:tcPr>
        <w:tcBorders>
          <w:top w:val="nil"/>
          <w:bottom w:val="single" w:sz="8" w:space="0" w:color="448973" w:themeColor="accent6"/>
        </w:tcBorders>
      </w:tcPr>
    </w:tblStylePr>
    <w:tblStylePr w:type="lastRow">
      <w:rPr>
        <w:b/>
        <w:bCs/>
        <w:color w:val="12175E" w:themeColor="text2"/>
      </w:rPr>
      <w:tblPr/>
      <w:tcPr>
        <w:tcBorders>
          <w:top w:val="single" w:sz="8" w:space="0" w:color="448973" w:themeColor="accent6"/>
          <w:bottom w:val="single" w:sz="8" w:space="0" w:color="448973" w:themeColor="accent6"/>
        </w:tcBorders>
      </w:tcPr>
    </w:tblStylePr>
    <w:tblStylePr w:type="firstCol">
      <w:rPr>
        <w:b/>
        <w:bCs/>
      </w:rPr>
    </w:tblStylePr>
    <w:tblStylePr w:type="lastCol">
      <w:rPr>
        <w:b/>
        <w:bCs/>
      </w:rPr>
      <w:tblPr/>
      <w:tcPr>
        <w:tcBorders>
          <w:top w:val="single" w:sz="8" w:space="0" w:color="448973" w:themeColor="accent6"/>
          <w:bottom w:val="single" w:sz="8" w:space="0" w:color="448973" w:themeColor="accent6"/>
        </w:tcBorders>
      </w:tcPr>
    </w:tblStylePr>
    <w:tblStylePr w:type="band1Vert">
      <w:tblPr/>
      <w:tcPr>
        <w:shd w:val="clear" w:color="auto" w:fill="CCE6DD" w:themeFill="accent6" w:themeFillTint="3F"/>
      </w:tcPr>
    </w:tblStylePr>
    <w:tblStylePr w:type="band1Horz">
      <w:tblPr/>
      <w:tcPr>
        <w:shd w:val="clear" w:color="auto" w:fill="CCE6DD" w:themeFill="accent6" w:themeFillTint="3F"/>
      </w:tcPr>
    </w:tblStylePr>
  </w:style>
  <w:style w:type="table" w:styleId="MediumList2">
    <w:name w:val="Medium List 2"/>
    <w:basedOn w:val="TableNormal"/>
    <w:uiPriority w:val="66"/>
    <w:semiHidden/>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BDAF77" w:themeFill="background1"/>
      </w:tcPr>
    </w:tblStylePr>
    <w:tblStylePr w:type="lastRow">
      <w:tblPr/>
      <w:tcPr>
        <w:tcBorders>
          <w:top w:val="single" w:sz="8" w:space="0" w:color="000000" w:themeColor="text1"/>
          <w:left w:val="nil"/>
          <w:bottom w:val="nil"/>
          <w:right w:val="nil"/>
          <w:insideH w:val="nil"/>
          <w:insideV w:val="nil"/>
        </w:tcBorders>
        <w:shd w:val="clear" w:color="auto" w:fill="BDAF77" w:themeFill="background1"/>
      </w:tcPr>
    </w:tblStylePr>
    <w:tblStylePr w:type="firstCol">
      <w:tblPr/>
      <w:tcPr>
        <w:tcBorders>
          <w:top w:val="nil"/>
          <w:left w:val="nil"/>
          <w:bottom w:val="nil"/>
          <w:right w:val="single" w:sz="8" w:space="0" w:color="000000" w:themeColor="text1"/>
          <w:insideH w:val="nil"/>
          <w:insideV w:val="nil"/>
        </w:tcBorders>
        <w:shd w:val="clear" w:color="auto" w:fill="BDAF77" w:themeFill="background1"/>
      </w:tcPr>
    </w:tblStylePr>
    <w:tblStylePr w:type="lastCol">
      <w:tblPr/>
      <w:tcPr>
        <w:tcBorders>
          <w:top w:val="nil"/>
          <w:left w:val="single" w:sz="8" w:space="0" w:color="000000" w:themeColor="text1"/>
          <w:bottom w:val="nil"/>
          <w:right w:val="nil"/>
          <w:insideH w:val="nil"/>
          <w:insideV w:val="nil"/>
        </w:tcBorders>
        <w:shd w:val="clear" w:color="auto" w:fill="BDAF77"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BDAF77" w:themeFill="background1"/>
      </w:tcPr>
    </w:tblStylePr>
    <w:tblStylePr w:type="swCell">
      <w:tblPr/>
      <w:tcPr>
        <w:tcBorders>
          <w:top w:val="nil"/>
        </w:tcBorders>
      </w:tcPr>
    </w:tblStylePr>
  </w:style>
  <w:style w:type="table" w:styleId="MediumList2-Accent1">
    <w:name w:val="Medium List 2 Accent 1"/>
    <w:basedOn w:val="TableNormal"/>
    <w:uiPriority w:val="66"/>
    <w:semiHidden/>
    <w:rPr>
      <w:rFonts w:eastAsiaTheme="majorEastAsia"/>
      <w:color w:val="000000" w:themeColor="text1"/>
    </w:rPr>
    <w:tblPr>
      <w:tblStyleRowBandSize w:val="1"/>
      <w:tblStyleColBandSize w:val="1"/>
      <w:tblBorders>
        <w:top w:val="single" w:sz="8" w:space="0" w:color="7BC143" w:themeColor="accent1"/>
        <w:left w:val="single" w:sz="8" w:space="0" w:color="7BC143" w:themeColor="accent1"/>
        <w:bottom w:val="single" w:sz="8" w:space="0" w:color="7BC143" w:themeColor="accent1"/>
        <w:right w:val="single" w:sz="8" w:space="0" w:color="7BC143" w:themeColor="accent1"/>
      </w:tblBorders>
    </w:tblPr>
    <w:tblStylePr w:type="firstRow">
      <w:rPr>
        <w:sz w:val="24"/>
        <w:szCs w:val="24"/>
      </w:rPr>
      <w:tblPr/>
      <w:tcPr>
        <w:tcBorders>
          <w:top w:val="nil"/>
          <w:left w:val="nil"/>
          <w:bottom w:val="single" w:sz="24" w:space="0" w:color="7BC143" w:themeColor="accent1"/>
          <w:right w:val="nil"/>
          <w:insideH w:val="nil"/>
          <w:insideV w:val="nil"/>
        </w:tcBorders>
        <w:shd w:val="clear" w:color="auto" w:fill="BDAF77" w:themeFill="background1"/>
      </w:tcPr>
    </w:tblStylePr>
    <w:tblStylePr w:type="lastRow">
      <w:tblPr/>
      <w:tcPr>
        <w:tcBorders>
          <w:top w:val="single" w:sz="8" w:space="0" w:color="7BC143" w:themeColor="accent1"/>
          <w:left w:val="nil"/>
          <w:bottom w:val="nil"/>
          <w:right w:val="nil"/>
          <w:insideH w:val="nil"/>
          <w:insideV w:val="nil"/>
        </w:tcBorders>
        <w:shd w:val="clear" w:color="auto" w:fill="BDAF77" w:themeFill="background1"/>
      </w:tcPr>
    </w:tblStylePr>
    <w:tblStylePr w:type="firstCol">
      <w:tblPr/>
      <w:tcPr>
        <w:tcBorders>
          <w:top w:val="nil"/>
          <w:left w:val="nil"/>
          <w:bottom w:val="nil"/>
          <w:right w:val="single" w:sz="8" w:space="0" w:color="7BC143" w:themeColor="accent1"/>
          <w:insideH w:val="nil"/>
          <w:insideV w:val="nil"/>
        </w:tcBorders>
        <w:shd w:val="clear" w:color="auto" w:fill="BDAF77" w:themeFill="background1"/>
      </w:tcPr>
    </w:tblStylePr>
    <w:tblStylePr w:type="lastCol">
      <w:tblPr/>
      <w:tcPr>
        <w:tcBorders>
          <w:top w:val="nil"/>
          <w:left w:val="single" w:sz="8" w:space="0" w:color="7BC143" w:themeColor="accent1"/>
          <w:bottom w:val="nil"/>
          <w:right w:val="nil"/>
          <w:insideH w:val="nil"/>
          <w:insideV w:val="nil"/>
        </w:tcBorders>
        <w:shd w:val="clear" w:color="auto" w:fill="BDAF77" w:themeFill="background1"/>
      </w:tcPr>
    </w:tblStylePr>
    <w:tblStylePr w:type="band1Vert">
      <w:tblPr/>
      <w:tcPr>
        <w:tcBorders>
          <w:left w:val="nil"/>
          <w:right w:val="nil"/>
          <w:insideH w:val="nil"/>
          <w:insideV w:val="nil"/>
        </w:tcBorders>
        <w:shd w:val="clear" w:color="auto" w:fill="DEEFD0" w:themeFill="accent1" w:themeFillTint="3F"/>
      </w:tcPr>
    </w:tblStylePr>
    <w:tblStylePr w:type="band1Horz">
      <w:tblPr/>
      <w:tcPr>
        <w:tcBorders>
          <w:top w:val="nil"/>
          <w:bottom w:val="nil"/>
          <w:insideH w:val="nil"/>
          <w:insideV w:val="nil"/>
        </w:tcBorders>
        <w:shd w:val="clear" w:color="auto" w:fill="DEEFD0" w:themeFill="accent1" w:themeFillTint="3F"/>
      </w:tcPr>
    </w:tblStylePr>
    <w:tblStylePr w:type="nwCell">
      <w:tblPr/>
      <w:tcPr>
        <w:shd w:val="clear" w:color="auto" w:fill="BDAF77" w:themeFill="background1"/>
      </w:tcPr>
    </w:tblStylePr>
    <w:tblStylePr w:type="swCell">
      <w:tblPr/>
      <w:tcPr>
        <w:tcBorders>
          <w:top w:val="nil"/>
        </w:tcBorders>
      </w:tcPr>
    </w:tblStylePr>
  </w:style>
  <w:style w:type="table" w:styleId="MediumList2-Accent2">
    <w:name w:val="Medium List 2 Accent 2"/>
    <w:basedOn w:val="TableNormal"/>
    <w:uiPriority w:val="66"/>
    <w:semiHidden/>
    <w:rPr>
      <w:rFonts w:eastAsiaTheme="majorEastAsia"/>
      <w:color w:val="000000" w:themeColor="text1"/>
    </w:rPr>
    <w:tblPr>
      <w:tblStyleRowBandSize w:val="1"/>
      <w:tblStyleColBandSize w:val="1"/>
      <w:tblBorders>
        <w:top w:val="single" w:sz="8" w:space="0" w:color="4C9880" w:themeColor="accent2"/>
        <w:left w:val="single" w:sz="8" w:space="0" w:color="4C9880" w:themeColor="accent2"/>
        <w:bottom w:val="single" w:sz="8" w:space="0" w:color="4C9880" w:themeColor="accent2"/>
        <w:right w:val="single" w:sz="8" w:space="0" w:color="4C9880" w:themeColor="accent2"/>
      </w:tblBorders>
    </w:tblPr>
    <w:tblStylePr w:type="firstRow">
      <w:rPr>
        <w:sz w:val="24"/>
        <w:szCs w:val="24"/>
      </w:rPr>
      <w:tblPr/>
      <w:tcPr>
        <w:tcBorders>
          <w:top w:val="nil"/>
          <w:left w:val="nil"/>
          <w:bottom w:val="single" w:sz="24" w:space="0" w:color="4C9880" w:themeColor="accent2"/>
          <w:right w:val="nil"/>
          <w:insideH w:val="nil"/>
          <w:insideV w:val="nil"/>
        </w:tcBorders>
        <w:shd w:val="clear" w:color="auto" w:fill="BDAF77" w:themeFill="background1"/>
      </w:tcPr>
    </w:tblStylePr>
    <w:tblStylePr w:type="lastRow">
      <w:tblPr/>
      <w:tcPr>
        <w:tcBorders>
          <w:top w:val="single" w:sz="8" w:space="0" w:color="4C9880" w:themeColor="accent2"/>
          <w:left w:val="nil"/>
          <w:bottom w:val="nil"/>
          <w:right w:val="nil"/>
          <w:insideH w:val="nil"/>
          <w:insideV w:val="nil"/>
        </w:tcBorders>
        <w:shd w:val="clear" w:color="auto" w:fill="BDAF77" w:themeFill="background1"/>
      </w:tcPr>
    </w:tblStylePr>
    <w:tblStylePr w:type="firstCol">
      <w:tblPr/>
      <w:tcPr>
        <w:tcBorders>
          <w:top w:val="nil"/>
          <w:left w:val="nil"/>
          <w:bottom w:val="nil"/>
          <w:right w:val="single" w:sz="8" w:space="0" w:color="4C9880" w:themeColor="accent2"/>
          <w:insideH w:val="nil"/>
          <w:insideV w:val="nil"/>
        </w:tcBorders>
        <w:shd w:val="clear" w:color="auto" w:fill="BDAF77" w:themeFill="background1"/>
      </w:tcPr>
    </w:tblStylePr>
    <w:tblStylePr w:type="lastCol">
      <w:tblPr/>
      <w:tcPr>
        <w:tcBorders>
          <w:top w:val="nil"/>
          <w:left w:val="single" w:sz="8" w:space="0" w:color="4C9880" w:themeColor="accent2"/>
          <w:bottom w:val="nil"/>
          <w:right w:val="nil"/>
          <w:insideH w:val="nil"/>
          <w:insideV w:val="nil"/>
        </w:tcBorders>
        <w:shd w:val="clear" w:color="auto" w:fill="BDAF77" w:themeFill="background1"/>
      </w:tcPr>
    </w:tblStylePr>
    <w:tblStylePr w:type="band1Vert">
      <w:tblPr/>
      <w:tcPr>
        <w:tcBorders>
          <w:left w:val="nil"/>
          <w:right w:val="nil"/>
          <w:insideH w:val="nil"/>
          <w:insideV w:val="nil"/>
        </w:tcBorders>
        <w:shd w:val="clear" w:color="auto" w:fill="D0E7E0" w:themeFill="accent2" w:themeFillTint="3F"/>
      </w:tcPr>
    </w:tblStylePr>
    <w:tblStylePr w:type="band1Horz">
      <w:tblPr/>
      <w:tcPr>
        <w:tcBorders>
          <w:top w:val="nil"/>
          <w:bottom w:val="nil"/>
          <w:insideH w:val="nil"/>
          <w:insideV w:val="nil"/>
        </w:tcBorders>
        <w:shd w:val="clear" w:color="auto" w:fill="D0E7E0" w:themeFill="accent2" w:themeFillTint="3F"/>
      </w:tcPr>
    </w:tblStylePr>
    <w:tblStylePr w:type="nwCell">
      <w:tblPr/>
      <w:tcPr>
        <w:shd w:val="clear" w:color="auto" w:fill="BDAF77" w:themeFill="background1"/>
      </w:tcPr>
    </w:tblStylePr>
    <w:tblStylePr w:type="swCell">
      <w:tblPr/>
      <w:tcPr>
        <w:tcBorders>
          <w:top w:val="nil"/>
        </w:tcBorders>
      </w:tcPr>
    </w:tblStylePr>
  </w:style>
  <w:style w:type="table" w:styleId="MediumList2-Accent3">
    <w:name w:val="Medium List 2 Accent 3"/>
    <w:basedOn w:val="TableNormal"/>
    <w:uiPriority w:val="66"/>
    <w:semiHidden/>
    <w:rPr>
      <w:rFonts w:eastAsiaTheme="majorEastAsia"/>
      <w:color w:val="000000" w:themeColor="text1"/>
    </w:rPr>
    <w:tblPr>
      <w:tblStyleRowBandSize w:val="1"/>
      <w:tblStyleColBandSize w:val="1"/>
      <w:tblBorders>
        <w:top w:val="single" w:sz="8" w:space="0" w:color="DBD4BD" w:themeColor="accent3"/>
        <w:left w:val="single" w:sz="8" w:space="0" w:color="DBD4BD" w:themeColor="accent3"/>
        <w:bottom w:val="single" w:sz="8" w:space="0" w:color="DBD4BD" w:themeColor="accent3"/>
        <w:right w:val="single" w:sz="8" w:space="0" w:color="DBD4BD" w:themeColor="accent3"/>
      </w:tblBorders>
    </w:tblPr>
    <w:tblStylePr w:type="firstRow">
      <w:rPr>
        <w:sz w:val="24"/>
        <w:szCs w:val="24"/>
      </w:rPr>
      <w:tblPr/>
      <w:tcPr>
        <w:tcBorders>
          <w:top w:val="nil"/>
          <w:left w:val="nil"/>
          <w:bottom w:val="single" w:sz="24" w:space="0" w:color="DBD4BD" w:themeColor="accent3"/>
          <w:right w:val="nil"/>
          <w:insideH w:val="nil"/>
          <w:insideV w:val="nil"/>
        </w:tcBorders>
        <w:shd w:val="clear" w:color="auto" w:fill="BDAF77" w:themeFill="background1"/>
      </w:tcPr>
    </w:tblStylePr>
    <w:tblStylePr w:type="lastRow">
      <w:tblPr/>
      <w:tcPr>
        <w:tcBorders>
          <w:top w:val="single" w:sz="8" w:space="0" w:color="DBD4BD" w:themeColor="accent3"/>
          <w:left w:val="nil"/>
          <w:bottom w:val="nil"/>
          <w:right w:val="nil"/>
          <w:insideH w:val="nil"/>
          <w:insideV w:val="nil"/>
        </w:tcBorders>
        <w:shd w:val="clear" w:color="auto" w:fill="BDAF77" w:themeFill="background1"/>
      </w:tcPr>
    </w:tblStylePr>
    <w:tblStylePr w:type="firstCol">
      <w:tblPr/>
      <w:tcPr>
        <w:tcBorders>
          <w:top w:val="nil"/>
          <w:left w:val="nil"/>
          <w:bottom w:val="nil"/>
          <w:right w:val="single" w:sz="8" w:space="0" w:color="DBD4BD" w:themeColor="accent3"/>
          <w:insideH w:val="nil"/>
          <w:insideV w:val="nil"/>
        </w:tcBorders>
        <w:shd w:val="clear" w:color="auto" w:fill="BDAF77" w:themeFill="background1"/>
      </w:tcPr>
    </w:tblStylePr>
    <w:tblStylePr w:type="lastCol">
      <w:tblPr/>
      <w:tcPr>
        <w:tcBorders>
          <w:top w:val="nil"/>
          <w:left w:val="single" w:sz="8" w:space="0" w:color="DBD4BD" w:themeColor="accent3"/>
          <w:bottom w:val="nil"/>
          <w:right w:val="nil"/>
          <w:insideH w:val="nil"/>
          <w:insideV w:val="nil"/>
        </w:tcBorders>
        <w:shd w:val="clear" w:color="auto" w:fill="BDAF77" w:themeFill="background1"/>
      </w:tcPr>
    </w:tblStylePr>
    <w:tblStylePr w:type="band1Vert">
      <w:tblPr/>
      <w:tcPr>
        <w:tcBorders>
          <w:left w:val="nil"/>
          <w:right w:val="nil"/>
          <w:insideH w:val="nil"/>
          <w:insideV w:val="nil"/>
        </w:tcBorders>
        <w:shd w:val="clear" w:color="auto" w:fill="F6F4EE" w:themeFill="accent3" w:themeFillTint="3F"/>
      </w:tcPr>
    </w:tblStylePr>
    <w:tblStylePr w:type="band1Horz">
      <w:tblPr/>
      <w:tcPr>
        <w:tcBorders>
          <w:top w:val="nil"/>
          <w:bottom w:val="nil"/>
          <w:insideH w:val="nil"/>
          <w:insideV w:val="nil"/>
        </w:tcBorders>
        <w:shd w:val="clear" w:color="auto" w:fill="F6F4EE" w:themeFill="accent3" w:themeFillTint="3F"/>
      </w:tcPr>
    </w:tblStylePr>
    <w:tblStylePr w:type="nwCell">
      <w:tblPr/>
      <w:tcPr>
        <w:shd w:val="clear" w:color="auto" w:fill="BDAF77" w:themeFill="background1"/>
      </w:tcPr>
    </w:tblStylePr>
    <w:tblStylePr w:type="swCell">
      <w:tblPr/>
      <w:tcPr>
        <w:tcBorders>
          <w:top w:val="nil"/>
        </w:tcBorders>
      </w:tcPr>
    </w:tblStylePr>
  </w:style>
  <w:style w:type="table" w:styleId="MediumList2-Accent4">
    <w:name w:val="Medium List 2 Accent 4"/>
    <w:basedOn w:val="TableNormal"/>
    <w:uiPriority w:val="66"/>
    <w:semiHidden/>
    <w:rPr>
      <w:rFonts w:eastAsiaTheme="majorEastAsia"/>
      <w:color w:val="000000" w:themeColor="text1"/>
    </w:rPr>
    <w:tblPr>
      <w:tblStyleRowBandSize w:val="1"/>
      <w:tblStyleColBandSize w:val="1"/>
      <w:tblBorders>
        <w:top w:val="single" w:sz="8" w:space="0" w:color="000000" w:themeColor="accent4"/>
        <w:left w:val="single" w:sz="8" w:space="0" w:color="000000" w:themeColor="accent4"/>
        <w:bottom w:val="single" w:sz="8" w:space="0" w:color="000000" w:themeColor="accent4"/>
        <w:right w:val="single" w:sz="8" w:space="0" w:color="000000" w:themeColor="accent4"/>
      </w:tblBorders>
    </w:tblPr>
    <w:tblStylePr w:type="firstRow">
      <w:rPr>
        <w:sz w:val="24"/>
        <w:szCs w:val="24"/>
      </w:rPr>
      <w:tblPr/>
      <w:tcPr>
        <w:tcBorders>
          <w:top w:val="nil"/>
          <w:left w:val="nil"/>
          <w:bottom w:val="single" w:sz="24" w:space="0" w:color="000000" w:themeColor="accent4"/>
          <w:right w:val="nil"/>
          <w:insideH w:val="nil"/>
          <w:insideV w:val="nil"/>
        </w:tcBorders>
        <w:shd w:val="clear" w:color="auto" w:fill="BDAF77" w:themeFill="background1"/>
      </w:tcPr>
    </w:tblStylePr>
    <w:tblStylePr w:type="lastRow">
      <w:tblPr/>
      <w:tcPr>
        <w:tcBorders>
          <w:top w:val="single" w:sz="8" w:space="0" w:color="000000" w:themeColor="accent4"/>
          <w:left w:val="nil"/>
          <w:bottom w:val="nil"/>
          <w:right w:val="nil"/>
          <w:insideH w:val="nil"/>
          <w:insideV w:val="nil"/>
        </w:tcBorders>
        <w:shd w:val="clear" w:color="auto" w:fill="BDAF77" w:themeFill="background1"/>
      </w:tcPr>
    </w:tblStylePr>
    <w:tblStylePr w:type="firstCol">
      <w:tblPr/>
      <w:tcPr>
        <w:tcBorders>
          <w:top w:val="nil"/>
          <w:left w:val="nil"/>
          <w:bottom w:val="nil"/>
          <w:right w:val="single" w:sz="8" w:space="0" w:color="000000" w:themeColor="accent4"/>
          <w:insideH w:val="nil"/>
          <w:insideV w:val="nil"/>
        </w:tcBorders>
        <w:shd w:val="clear" w:color="auto" w:fill="BDAF77" w:themeFill="background1"/>
      </w:tcPr>
    </w:tblStylePr>
    <w:tblStylePr w:type="lastCol">
      <w:tblPr/>
      <w:tcPr>
        <w:tcBorders>
          <w:top w:val="nil"/>
          <w:left w:val="single" w:sz="8" w:space="0" w:color="000000" w:themeColor="accent4"/>
          <w:bottom w:val="nil"/>
          <w:right w:val="nil"/>
          <w:insideH w:val="nil"/>
          <w:insideV w:val="nil"/>
        </w:tcBorders>
        <w:shd w:val="clear" w:color="auto" w:fill="BDAF77" w:themeFill="background1"/>
      </w:tcPr>
    </w:tblStylePr>
    <w:tblStylePr w:type="band1Vert">
      <w:tblPr/>
      <w:tcPr>
        <w:tcBorders>
          <w:left w:val="nil"/>
          <w:right w:val="nil"/>
          <w:insideH w:val="nil"/>
          <w:insideV w:val="nil"/>
        </w:tcBorders>
        <w:shd w:val="clear" w:color="auto" w:fill="C0C0C0" w:themeFill="accent4" w:themeFillTint="3F"/>
      </w:tcPr>
    </w:tblStylePr>
    <w:tblStylePr w:type="band1Horz">
      <w:tblPr/>
      <w:tcPr>
        <w:tcBorders>
          <w:top w:val="nil"/>
          <w:bottom w:val="nil"/>
          <w:insideH w:val="nil"/>
          <w:insideV w:val="nil"/>
        </w:tcBorders>
        <w:shd w:val="clear" w:color="auto" w:fill="C0C0C0" w:themeFill="accent4" w:themeFillTint="3F"/>
      </w:tcPr>
    </w:tblStylePr>
    <w:tblStylePr w:type="nwCell">
      <w:tblPr/>
      <w:tcPr>
        <w:shd w:val="clear" w:color="auto" w:fill="BDAF77" w:themeFill="background1"/>
      </w:tcPr>
    </w:tblStylePr>
    <w:tblStylePr w:type="swCell">
      <w:tblPr/>
      <w:tcPr>
        <w:tcBorders>
          <w:top w:val="nil"/>
        </w:tcBorders>
      </w:tcPr>
    </w:tblStylePr>
  </w:style>
  <w:style w:type="table" w:styleId="MediumList2-Accent5">
    <w:name w:val="Medium List 2 Accent 5"/>
    <w:basedOn w:val="TableNormal"/>
    <w:uiPriority w:val="66"/>
    <w:semiHidden/>
    <w:rPr>
      <w:rFonts w:eastAsiaTheme="majorEastAsia"/>
      <w:color w:val="000000" w:themeColor="text1"/>
    </w:rPr>
    <w:tblPr>
      <w:tblStyleRowBandSize w:val="1"/>
      <w:tblStyleColBandSize w:val="1"/>
      <w:tblBorders>
        <w:top w:val="single" w:sz="8" w:space="0" w:color="BFDDB0" w:themeColor="accent5"/>
        <w:left w:val="single" w:sz="8" w:space="0" w:color="BFDDB0" w:themeColor="accent5"/>
        <w:bottom w:val="single" w:sz="8" w:space="0" w:color="BFDDB0" w:themeColor="accent5"/>
        <w:right w:val="single" w:sz="8" w:space="0" w:color="BFDDB0" w:themeColor="accent5"/>
      </w:tblBorders>
    </w:tblPr>
    <w:tblStylePr w:type="firstRow">
      <w:rPr>
        <w:sz w:val="24"/>
        <w:szCs w:val="24"/>
      </w:rPr>
      <w:tblPr/>
      <w:tcPr>
        <w:tcBorders>
          <w:top w:val="nil"/>
          <w:left w:val="nil"/>
          <w:bottom w:val="single" w:sz="24" w:space="0" w:color="BFDDB0" w:themeColor="accent5"/>
          <w:right w:val="nil"/>
          <w:insideH w:val="nil"/>
          <w:insideV w:val="nil"/>
        </w:tcBorders>
        <w:shd w:val="clear" w:color="auto" w:fill="BDAF77" w:themeFill="background1"/>
      </w:tcPr>
    </w:tblStylePr>
    <w:tblStylePr w:type="lastRow">
      <w:tblPr/>
      <w:tcPr>
        <w:tcBorders>
          <w:top w:val="single" w:sz="8" w:space="0" w:color="BFDDB0" w:themeColor="accent5"/>
          <w:left w:val="nil"/>
          <w:bottom w:val="nil"/>
          <w:right w:val="nil"/>
          <w:insideH w:val="nil"/>
          <w:insideV w:val="nil"/>
        </w:tcBorders>
        <w:shd w:val="clear" w:color="auto" w:fill="BDAF77" w:themeFill="background1"/>
      </w:tcPr>
    </w:tblStylePr>
    <w:tblStylePr w:type="firstCol">
      <w:tblPr/>
      <w:tcPr>
        <w:tcBorders>
          <w:top w:val="nil"/>
          <w:left w:val="nil"/>
          <w:bottom w:val="nil"/>
          <w:right w:val="single" w:sz="8" w:space="0" w:color="BFDDB0" w:themeColor="accent5"/>
          <w:insideH w:val="nil"/>
          <w:insideV w:val="nil"/>
        </w:tcBorders>
        <w:shd w:val="clear" w:color="auto" w:fill="BDAF77" w:themeFill="background1"/>
      </w:tcPr>
    </w:tblStylePr>
    <w:tblStylePr w:type="lastCol">
      <w:tblPr/>
      <w:tcPr>
        <w:tcBorders>
          <w:top w:val="nil"/>
          <w:left w:val="single" w:sz="8" w:space="0" w:color="BFDDB0" w:themeColor="accent5"/>
          <w:bottom w:val="nil"/>
          <w:right w:val="nil"/>
          <w:insideH w:val="nil"/>
          <w:insideV w:val="nil"/>
        </w:tcBorders>
        <w:shd w:val="clear" w:color="auto" w:fill="BDAF77" w:themeFill="background1"/>
      </w:tcPr>
    </w:tblStylePr>
    <w:tblStylePr w:type="band1Vert">
      <w:tblPr/>
      <w:tcPr>
        <w:tcBorders>
          <w:left w:val="nil"/>
          <w:right w:val="nil"/>
          <w:insideH w:val="nil"/>
          <w:insideV w:val="nil"/>
        </w:tcBorders>
        <w:shd w:val="clear" w:color="auto" w:fill="EFF6EB" w:themeFill="accent5" w:themeFillTint="3F"/>
      </w:tcPr>
    </w:tblStylePr>
    <w:tblStylePr w:type="band1Horz">
      <w:tblPr/>
      <w:tcPr>
        <w:tcBorders>
          <w:top w:val="nil"/>
          <w:bottom w:val="nil"/>
          <w:insideH w:val="nil"/>
          <w:insideV w:val="nil"/>
        </w:tcBorders>
        <w:shd w:val="clear" w:color="auto" w:fill="EFF6EB" w:themeFill="accent5" w:themeFillTint="3F"/>
      </w:tcPr>
    </w:tblStylePr>
    <w:tblStylePr w:type="nwCell">
      <w:tblPr/>
      <w:tcPr>
        <w:shd w:val="clear" w:color="auto" w:fill="BDAF77" w:themeFill="background1"/>
      </w:tcPr>
    </w:tblStylePr>
    <w:tblStylePr w:type="swCell">
      <w:tblPr/>
      <w:tcPr>
        <w:tcBorders>
          <w:top w:val="nil"/>
        </w:tcBorders>
      </w:tcPr>
    </w:tblStylePr>
  </w:style>
  <w:style w:type="table" w:styleId="MediumList2-Accent6">
    <w:name w:val="Medium List 2 Accent 6"/>
    <w:basedOn w:val="TableNormal"/>
    <w:uiPriority w:val="66"/>
    <w:semiHidden/>
    <w:rPr>
      <w:rFonts w:eastAsiaTheme="majorEastAsia"/>
      <w:color w:val="000000" w:themeColor="text1"/>
    </w:rPr>
    <w:tblPr>
      <w:tblStyleRowBandSize w:val="1"/>
      <w:tblStyleColBandSize w:val="1"/>
      <w:tblBorders>
        <w:top w:val="single" w:sz="8" w:space="0" w:color="448973" w:themeColor="accent6"/>
        <w:left w:val="single" w:sz="8" w:space="0" w:color="448973" w:themeColor="accent6"/>
        <w:bottom w:val="single" w:sz="8" w:space="0" w:color="448973" w:themeColor="accent6"/>
        <w:right w:val="single" w:sz="8" w:space="0" w:color="448973" w:themeColor="accent6"/>
      </w:tblBorders>
    </w:tblPr>
    <w:tblStylePr w:type="firstRow">
      <w:rPr>
        <w:sz w:val="24"/>
        <w:szCs w:val="24"/>
      </w:rPr>
      <w:tblPr/>
      <w:tcPr>
        <w:tcBorders>
          <w:top w:val="nil"/>
          <w:left w:val="nil"/>
          <w:bottom w:val="single" w:sz="24" w:space="0" w:color="448973" w:themeColor="accent6"/>
          <w:right w:val="nil"/>
          <w:insideH w:val="nil"/>
          <w:insideV w:val="nil"/>
        </w:tcBorders>
        <w:shd w:val="clear" w:color="auto" w:fill="BDAF77" w:themeFill="background1"/>
      </w:tcPr>
    </w:tblStylePr>
    <w:tblStylePr w:type="lastRow">
      <w:tblPr/>
      <w:tcPr>
        <w:tcBorders>
          <w:top w:val="single" w:sz="8" w:space="0" w:color="448973" w:themeColor="accent6"/>
          <w:left w:val="nil"/>
          <w:bottom w:val="nil"/>
          <w:right w:val="nil"/>
          <w:insideH w:val="nil"/>
          <w:insideV w:val="nil"/>
        </w:tcBorders>
        <w:shd w:val="clear" w:color="auto" w:fill="BDAF77" w:themeFill="background1"/>
      </w:tcPr>
    </w:tblStylePr>
    <w:tblStylePr w:type="firstCol">
      <w:tblPr/>
      <w:tcPr>
        <w:tcBorders>
          <w:top w:val="nil"/>
          <w:left w:val="nil"/>
          <w:bottom w:val="nil"/>
          <w:right w:val="single" w:sz="8" w:space="0" w:color="448973" w:themeColor="accent6"/>
          <w:insideH w:val="nil"/>
          <w:insideV w:val="nil"/>
        </w:tcBorders>
        <w:shd w:val="clear" w:color="auto" w:fill="BDAF77" w:themeFill="background1"/>
      </w:tcPr>
    </w:tblStylePr>
    <w:tblStylePr w:type="lastCol">
      <w:tblPr/>
      <w:tcPr>
        <w:tcBorders>
          <w:top w:val="nil"/>
          <w:left w:val="single" w:sz="8" w:space="0" w:color="448973" w:themeColor="accent6"/>
          <w:bottom w:val="nil"/>
          <w:right w:val="nil"/>
          <w:insideH w:val="nil"/>
          <w:insideV w:val="nil"/>
        </w:tcBorders>
        <w:shd w:val="clear" w:color="auto" w:fill="BDAF77" w:themeFill="background1"/>
      </w:tcPr>
    </w:tblStylePr>
    <w:tblStylePr w:type="band1Vert">
      <w:tblPr/>
      <w:tcPr>
        <w:tcBorders>
          <w:left w:val="nil"/>
          <w:right w:val="nil"/>
          <w:insideH w:val="nil"/>
          <w:insideV w:val="nil"/>
        </w:tcBorders>
        <w:shd w:val="clear" w:color="auto" w:fill="CCE6DD" w:themeFill="accent6" w:themeFillTint="3F"/>
      </w:tcPr>
    </w:tblStylePr>
    <w:tblStylePr w:type="band1Horz">
      <w:tblPr/>
      <w:tcPr>
        <w:tcBorders>
          <w:top w:val="nil"/>
          <w:bottom w:val="nil"/>
          <w:insideH w:val="nil"/>
          <w:insideV w:val="nil"/>
        </w:tcBorders>
        <w:shd w:val="clear" w:color="auto" w:fill="CCE6DD" w:themeFill="accent6" w:themeFillTint="3F"/>
      </w:tcPr>
    </w:tblStylePr>
    <w:tblStylePr w:type="nwCell">
      <w:tblPr/>
      <w:tcPr>
        <w:shd w:val="clear" w:color="auto" w:fill="BDAF77" w:themeFill="background1"/>
      </w:tcPr>
    </w:tblStylePr>
    <w:tblStylePr w:type="swCell">
      <w:tblPr/>
      <w:tcPr>
        <w:tcBorders>
          <w:top w:val="nil"/>
        </w:tcBorders>
      </w:tcPr>
    </w:tblStylePr>
  </w:style>
  <w:style w:type="table" w:styleId="MediumShading1">
    <w:name w:val="Medium Shading 1"/>
    <w:basedOn w:val="TableNormal"/>
    <w:uiPriority w:val="63"/>
    <w:semiHidden/>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BDAF77"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tblPr>
      <w:tblStyleRowBandSize w:val="1"/>
      <w:tblStyleColBandSize w:val="1"/>
      <w:tblBorders>
        <w:top w:val="single" w:sz="8" w:space="0" w:color="9BD072" w:themeColor="accent1" w:themeTint="BF"/>
        <w:left w:val="single" w:sz="8" w:space="0" w:color="9BD072" w:themeColor="accent1" w:themeTint="BF"/>
        <w:bottom w:val="single" w:sz="8" w:space="0" w:color="9BD072" w:themeColor="accent1" w:themeTint="BF"/>
        <w:right w:val="single" w:sz="8" w:space="0" w:color="9BD072" w:themeColor="accent1" w:themeTint="BF"/>
        <w:insideH w:val="single" w:sz="8" w:space="0" w:color="9BD072" w:themeColor="accent1" w:themeTint="BF"/>
      </w:tblBorders>
    </w:tblPr>
    <w:tblStylePr w:type="firstRow">
      <w:pPr>
        <w:spacing w:before="0" w:after="0" w:line="240" w:lineRule="auto"/>
      </w:pPr>
      <w:rPr>
        <w:b/>
        <w:bCs/>
        <w:color w:val="BDAF77" w:themeColor="background1"/>
      </w:rPr>
      <w:tblPr/>
      <w:tcPr>
        <w:tcBorders>
          <w:top w:val="single" w:sz="8" w:space="0" w:color="9BD072" w:themeColor="accent1" w:themeTint="BF"/>
          <w:left w:val="single" w:sz="8" w:space="0" w:color="9BD072" w:themeColor="accent1" w:themeTint="BF"/>
          <w:bottom w:val="single" w:sz="8" w:space="0" w:color="9BD072" w:themeColor="accent1" w:themeTint="BF"/>
          <w:right w:val="single" w:sz="8" w:space="0" w:color="9BD072" w:themeColor="accent1" w:themeTint="BF"/>
          <w:insideH w:val="nil"/>
          <w:insideV w:val="nil"/>
        </w:tcBorders>
        <w:shd w:val="clear" w:color="auto" w:fill="7BC143" w:themeFill="accent1"/>
      </w:tcPr>
    </w:tblStylePr>
    <w:tblStylePr w:type="lastRow">
      <w:pPr>
        <w:spacing w:before="0" w:after="0" w:line="240" w:lineRule="auto"/>
      </w:pPr>
      <w:rPr>
        <w:b/>
        <w:bCs/>
      </w:rPr>
      <w:tblPr/>
      <w:tcPr>
        <w:tcBorders>
          <w:top w:val="double" w:sz="6" w:space="0" w:color="9BD072" w:themeColor="accent1" w:themeTint="BF"/>
          <w:left w:val="single" w:sz="8" w:space="0" w:color="9BD072" w:themeColor="accent1" w:themeTint="BF"/>
          <w:bottom w:val="single" w:sz="8" w:space="0" w:color="9BD072" w:themeColor="accent1" w:themeTint="BF"/>
          <w:right w:val="single" w:sz="8" w:space="0" w:color="9BD07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EEFD0" w:themeFill="accent1" w:themeFillTint="3F"/>
      </w:tcPr>
    </w:tblStylePr>
    <w:tblStylePr w:type="band1Horz">
      <w:tblPr/>
      <w:tcPr>
        <w:tcBorders>
          <w:insideH w:val="nil"/>
          <w:insideV w:val="nil"/>
        </w:tcBorders>
        <w:shd w:val="clear" w:color="auto" w:fill="DEEFD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tblPr>
      <w:tblStyleRowBandSize w:val="1"/>
      <w:tblStyleColBandSize w:val="1"/>
      <w:tblBorders>
        <w:top w:val="single" w:sz="8" w:space="0" w:color="72B8A2" w:themeColor="accent2" w:themeTint="BF"/>
        <w:left w:val="single" w:sz="8" w:space="0" w:color="72B8A2" w:themeColor="accent2" w:themeTint="BF"/>
        <w:bottom w:val="single" w:sz="8" w:space="0" w:color="72B8A2" w:themeColor="accent2" w:themeTint="BF"/>
        <w:right w:val="single" w:sz="8" w:space="0" w:color="72B8A2" w:themeColor="accent2" w:themeTint="BF"/>
        <w:insideH w:val="single" w:sz="8" w:space="0" w:color="72B8A2" w:themeColor="accent2" w:themeTint="BF"/>
      </w:tblBorders>
    </w:tblPr>
    <w:tblStylePr w:type="firstRow">
      <w:pPr>
        <w:spacing w:before="0" w:after="0" w:line="240" w:lineRule="auto"/>
      </w:pPr>
      <w:rPr>
        <w:b/>
        <w:bCs/>
        <w:color w:val="BDAF77" w:themeColor="background1"/>
      </w:rPr>
      <w:tblPr/>
      <w:tcPr>
        <w:tcBorders>
          <w:top w:val="single" w:sz="8" w:space="0" w:color="72B8A2" w:themeColor="accent2" w:themeTint="BF"/>
          <w:left w:val="single" w:sz="8" w:space="0" w:color="72B8A2" w:themeColor="accent2" w:themeTint="BF"/>
          <w:bottom w:val="single" w:sz="8" w:space="0" w:color="72B8A2" w:themeColor="accent2" w:themeTint="BF"/>
          <w:right w:val="single" w:sz="8" w:space="0" w:color="72B8A2" w:themeColor="accent2" w:themeTint="BF"/>
          <w:insideH w:val="nil"/>
          <w:insideV w:val="nil"/>
        </w:tcBorders>
        <w:shd w:val="clear" w:color="auto" w:fill="4C9880" w:themeFill="accent2"/>
      </w:tcPr>
    </w:tblStylePr>
    <w:tblStylePr w:type="lastRow">
      <w:pPr>
        <w:spacing w:before="0" w:after="0" w:line="240" w:lineRule="auto"/>
      </w:pPr>
      <w:rPr>
        <w:b/>
        <w:bCs/>
      </w:rPr>
      <w:tblPr/>
      <w:tcPr>
        <w:tcBorders>
          <w:top w:val="double" w:sz="6" w:space="0" w:color="72B8A2" w:themeColor="accent2" w:themeTint="BF"/>
          <w:left w:val="single" w:sz="8" w:space="0" w:color="72B8A2" w:themeColor="accent2" w:themeTint="BF"/>
          <w:bottom w:val="single" w:sz="8" w:space="0" w:color="72B8A2" w:themeColor="accent2" w:themeTint="BF"/>
          <w:right w:val="single" w:sz="8" w:space="0" w:color="72B8A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0E7E0" w:themeFill="accent2" w:themeFillTint="3F"/>
      </w:tcPr>
    </w:tblStylePr>
    <w:tblStylePr w:type="band1Horz">
      <w:tblPr/>
      <w:tcPr>
        <w:tcBorders>
          <w:insideH w:val="nil"/>
          <w:insideV w:val="nil"/>
        </w:tcBorders>
        <w:shd w:val="clear" w:color="auto" w:fill="D0E7E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tblPr>
      <w:tblStyleRowBandSize w:val="1"/>
      <w:tblStyleColBandSize w:val="1"/>
      <w:tblBorders>
        <w:top w:val="single" w:sz="8" w:space="0" w:color="E4DECD" w:themeColor="accent3" w:themeTint="BF"/>
        <w:left w:val="single" w:sz="8" w:space="0" w:color="E4DECD" w:themeColor="accent3" w:themeTint="BF"/>
        <w:bottom w:val="single" w:sz="8" w:space="0" w:color="E4DECD" w:themeColor="accent3" w:themeTint="BF"/>
        <w:right w:val="single" w:sz="8" w:space="0" w:color="E4DECD" w:themeColor="accent3" w:themeTint="BF"/>
        <w:insideH w:val="single" w:sz="8" w:space="0" w:color="E4DECD" w:themeColor="accent3" w:themeTint="BF"/>
      </w:tblBorders>
    </w:tblPr>
    <w:tblStylePr w:type="firstRow">
      <w:pPr>
        <w:spacing w:before="0" w:after="0" w:line="240" w:lineRule="auto"/>
      </w:pPr>
      <w:rPr>
        <w:b/>
        <w:bCs/>
        <w:color w:val="BDAF77" w:themeColor="background1"/>
      </w:rPr>
      <w:tblPr/>
      <w:tcPr>
        <w:tcBorders>
          <w:top w:val="single" w:sz="8" w:space="0" w:color="E4DECD" w:themeColor="accent3" w:themeTint="BF"/>
          <w:left w:val="single" w:sz="8" w:space="0" w:color="E4DECD" w:themeColor="accent3" w:themeTint="BF"/>
          <w:bottom w:val="single" w:sz="8" w:space="0" w:color="E4DECD" w:themeColor="accent3" w:themeTint="BF"/>
          <w:right w:val="single" w:sz="8" w:space="0" w:color="E4DECD" w:themeColor="accent3" w:themeTint="BF"/>
          <w:insideH w:val="nil"/>
          <w:insideV w:val="nil"/>
        </w:tcBorders>
        <w:shd w:val="clear" w:color="auto" w:fill="DBD4BD" w:themeFill="accent3"/>
      </w:tcPr>
    </w:tblStylePr>
    <w:tblStylePr w:type="lastRow">
      <w:pPr>
        <w:spacing w:before="0" w:after="0" w:line="240" w:lineRule="auto"/>
      </w:pPr>
      <w:rPr>
        <w:b/>
        <w:bCs/>
      </w:rPr>
      <w:tblPr/>
      <w:tcPr>
        <w:tcBorders>
          <w:top w:val="double" w:sz="6" w:space="0" w:color="E4DECD" w:themeColor="accent3" w:themeTint="BF"/>
          <w:left w:val="single" w:sz="8" w:space="0" w:color="E4DECD" w:themeColor="accent3" w:themeTint="BF"/>
          <w:bottom w:val="single" w:sz="8" w:space="0" w:color="E4DECD" w:themeColor="accent3" w:themeTint="BF"/>
          <w:right w:val="single" w:sz="8" w:space="0" w:color="E4DECD" w:themeColor="accent3" w:themeTint="BF"/>
          <w:insideH w:val="nil"/>
          <w:insideV w:val="nil"/>
        </w:tcBorders>
      </w:tcPr>
    </w:tblStylePr>
    <w:tblStylePr w:type="firstCol">
      <w:rPr>
        <w:b/>
        <w:bCs/>
      </w:rPr>
    </w:tblStylePr>
    <w:tblStylePr w:type="lastCol">
      <w:rPr>
        <w:b/>
        <w:bCs/>
      </w:rPr>
    </w:tblStylePr>
    <w:tblStylePr w:type="band1Vert">
      <w:tblPr/>
      <w:tcPr>
        <w:shd w:val="clear" w:color="auto" w:fill="F6F4EE" w:themeFill="accent3" w:themeFillTint="3F"/>
      </w:tcPr>
    </w:tblStylePr>
    <w:tblStylePr w:type="band1Horz">
      <w:tblPr/>
      <w:tcPr>
        <w:tcBorders>
          <w:insideH w:val="nil"/>
          <w:insideV w:val="nil"/>
        </w:tcBorders>
        <w:shd w:val="clear" w:color="auto" w:fill="F6F4EE"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tblPr>
      <w:tblStyleRowBandSize w:val="1"/>
      <w:tblStyleColBandSize w:val="1"/>
      <w:tblBorders>
        <w:top w:val="single" w:sz="8" w:space="0" w:color="404040" w:themeColor="accent4" w:themeTint="BF"/>
        <w:left w:val="single" w:sz="8" w:space="0" w:color="404040" w:themeColor="accent4" w:themeTint="BF"/>
        <w:bottom w:val="single" w:sz="8" w:space="0" w:color="404040" w:themeColor="accent4" w:themeTint="BF"/>
        <w:right w:val="single" w:sz="8" w:space="0" w:color="404040" w:themeColor="accent4" w:themeTint="BF"/>
        <w:insideH w:val="single" w:sz="8" w:space="0" w:color="404040" w:themeColor="accent4" w:themeTint="BF"/>
      </w:tblBorders>
    </w:tblPr>
    <w:tblStylePr w:type="firstRow">
      <w:pPr>
        <w:spacing w:before="0" w:after="0" w:line="240" w:lineRule="auto"/>
      </w:pPr>
      <w:rPr>
        <w:b/>
        <w:bCs/>
        <w:color w:val="BDAF77" w:themeColor="background1"/>
      </w:rPr>
      <w:tblPr/>
      <w:tcPr>
        <w:tcBorders>
          <w:top w:val="single" w:sz="8" w:space="0" w:color="404040" w:themeColor="accent4" w:themeTint="BF"/>
          <w:left w:val="single" w:sz="8" w:space="0" w:color="404040" w:themeColor="accent4" w:themeTint="BF"/>
          <w:bottom w:val="single" w:sz="8" w:space="0" w:color="404040" w:themeColor="accent4" w:themeTint="BF"/>
          <w:right w:val="single" w:sz="8" w:space="0" w:color="404040" w:themeColor="accent4" w:themeTint="BF"/>
          <w:insideH w:val="nil"/>
          <w:insideV w:val="nil"/>
        </w:tcBorders>
        <w:shd w:val="clear" w:color="auto" w:fill="000000" w:themeFill="accent4"/>
      </w:tcPr>
    </w:tblStylePr>
    <w:tblStylePr w:type="lastRow">
      <w:pPr>
        <w:spacing w:before="0" w:after="0" w:line="240" w:lineRule="auto"/>
      </w:pPr>
      <w:rPr>
        <w:b/>
        <w:bCs/>
      </w:rPr>
      <w:tblPr/>
      <w:tcPr>
        <w:tcBorders>
          <w:top w:val="double" w:sz="6" w:space="0" w:color="404040" w:themeColor="accent4" w:themeTint="BF"/>
          <w:left w:val="single" w:sz="8" w:space="0" w:color="404040" w:themeColor="accent4" w:themeTint="BF"/>
          <w:bottom w:val="single" w:sz="8" w:space="0" w:color="404040" w:themeColor="accent4" w:themeTint="BF"/>
          <w:right w:val="single" w:sz="8" w:space="0" w:color="4040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4" w:themeFillTint="3F"/>
      </w:tcPr>
    </w:tblStylePr>
    <w:tblStylePr w:type="band1Horz">
      <w:tblPr/>
      <w:tcPr>
        <w:tcBorders>
          <w:insideH w:val="nil"/>
          <w:insideV w:val="nil"/>
        </w:tcBorders>
        <w:shd w:val="clear" w:color="auto" w:fill="C0C0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tblPr>
      <w:tblStyleRowBandSize w:val="1"/>
      <w:tblStyleColBandSize w:val="1"/>
      <w:tblBorders>
        <w:top w:val="single" w:sz="8" w:space="0" w:color="CFE5C3" w:themeColor="accent5" w:themeTint="BF"/>
        <w:left w:val="single" w:sz="8" w:space="0" w:color="CFE5C3" w:themeColor="accent5" w:themeTint="BF"/>
        <w:bottom w:val="single" w:sz="8" w:space="0" w:color="CFE5C3" w:themeColor="accent5" w:themeTint="BF"/>
        <w:right w:val="single" w:sz="8" w:space="0" w:color="CFE5C3" w:themeColor="accent5" w:themeTint="BF"/>
        <w:insideH w:val="single" w:sz="8" w:space="0" w:color="CFE5C3" w:themeColor="accent5" w:themeTint="BF"/>
      </w:tblBorders>
    </w:tblPr>
    <w:tblStylePr w:type="firstRow">
      <w:pPr>
        <w:spacing w:before="0" w:after="0" w:line="240" w:lineRule="auto"/>
      </w:pPr>
      <w:rPr>
        <w:b/>
        <w:bCs/>
        <w:color w:val="BDAF77" w:themeColor="background1"/>
      </w:rPr>
      <w:tblPr/>
      <w:tcPr>
        <w:tcBorders>
          <w:top w:val="single" w:sz="8" w:space="0" w:color="CFE5C3" w:themeColor="accent5" w:themeTint="BF"/>
          <w:left w:val="single" w:sz="8" w:space="0" w:color="CFE5C3" w:themeColor="accent5" w:themeTint="BF"/>
          <w:bottom w:val="single" w:sz="8" w:space="0" w:color="CFE5C3" w:themeColor="accent5" w:themeTint="BF"/>
          <w:right w:val="single" w:sz="8" w:space="0" w:color="CFE5C3" w:themeColor="accent5" w:themeTint="BF"/>
          <w:insideH w:val="nil"/>
          <w:insideV w:val="nil"/>
        </w:tcBorders>
        <w:shd w:val="clear" w:color="auto" w:fill="BFDDB0" w:themeFill="accent5"/>
      </w:tcPr>
    </w:tblStylePr>
    <w:tblStylePr w:type="lastRow">
      <w:pPr>
        <w:spacing w:before="0" w:after="0" w:line="240" w:lineRule="auto"/>
      </w:pPr>
      <w:rPr>
        <w:b/>
        <w:bCs/>
      </w:rPr>
      <w:tblPr/>
      <w:tcPr>
        <w:tcBorders>
          <w:top w:val="double" w:sz="6" w:space="0" w:color="CFE5C3" w:themeColor="accent5" w:themeTint="BF"/>
          <w:left w:val="single" w:sz="8" w:space="0" w:color="CFE5C3" w:themeColor="accent5" w:themeTint="BF"/>
          <w:bottom w:val="single" w:sz="8" w:space="0" w:color="CFE5C3" w:themeColor="accent5" w:themeTint="BF"/>
          <w:right w:val="single" w:sz="8" w:space="0" w:color="CFE5C3"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F6EB" w:themeFill="accent5" w:themeFillTint="3F"/>
      </w:tcPr>
    </w:tblStylePr>
    <w:tblStylePr w:type="band1Horz">
      <w:tblPr/>
      <w:tcPr>
        <w:tcBorders>
          <w:insideH w:val="nil"/>
          <w:insideV w:val="nil"/>
        </w:tcBorders>
        <w:shd w:val="clear" w:color="auto" w:fill="EFF6EB"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tblPr>
      <w:tblStyleRowBandSize w:val="1"/>
      <w:tblStyleColBandSize w:val="1"/>
      <w:tblBorders>
        <w:top w:val="single" w:sz="8" w:space="0" w:color="66B39A" w:themeColor="accent6" w:themeTint="BF"/>
        <w:left w:val="single" w:sz="8" w:space="0" w:color="66B39A" w:themeColor="accent6" w:themeTint="BF"/>
        <w:bottom w:val="single" w:sz="8" w:space="0" w:color="66B39A" w:themeColor="accent6" w:themeTint="BF"/>
        <w:right w:val="single" w:sz="8" w:space="0" w:color="66B39A" w:themeColor="accent6" w:themeTint="BF"/>
        <w:insideH w:val="single" w:sz="8" w:space="0" w:color="66B39A" w:themeColor="accent6" w:themeTint="BF"/>
      </w:tblBorders>
    </w:tblPr>
    <w:tblStylePr w:type="firstRow">
      <w:pPr>
        <w:spacing w:before="0" w:after="0" w:line="240" w:lineRule="auto"/>
      </w:pPr>
      <w:rPr>
        <w:b/>
        <w:bCs/>
        <w:color w:val="BDAF77" w:themeColor="background1"/>
      </w:rPr>
      <w:tblPr/>
      <w:tcPr>
        <w:tcBorders>
          <w:top w:val="single" w:sz="8" w:space="0" w:color="66B39A" w:themeColor="accent6" w:themeTint="BF"/>
          <w:left w:val="single" w:sz="8" w:space="0" w:color="66B39A" w:themeColor="accent6" w:themeTint="BF"/>
          <w:bottom w:val="single" w:sz="8" w:space="0" w:color="66B39A" w:themeColor="accent6" w:themeTint="BF"/>
          <w:right w:val="single" w:sz="8" w:space="0" w:color="66B39A" w:themeColor="accent6" w:themeTint="BF"/>
          <w:insideH w:val="nil"/>
          <w:insideV w:val="nil"/>
        </w:tcBorders>
        <w:shd w:val="clear" w:color="auto" w:fill="448973" w:themeFill="accent6"/>
      </w:tcPr>
    </w:tblStylePr>
    <w:tblStylePr w:type="lastRow">
      <w:pPr>
        <w:spacing w:before="0" w:after="0" w:line="240" w:lineRule="auto"/>
      </w:pPr>
      <w:rPr>
        <w:b/>
        <w:bCs/>
      </w:rPr>
      <w:tblPr/>
      <w:tcPr>
        <w:tcBorders>
          <w:top w:val="double" w:sz="6" w:space="0" w:color="66B39A" w:themeColor="accent6" w:themeTint="BF"/>
          <w:left w:val="single" w:sz="8" w:space="0" w:color="66B39A" w:themeColor="accent6" w:themeTint="BF"/>
          <w:bottom w:val="single" w:sz="8" w:space="0" w:color="66B39A" w:themeColor="accent6" w:themeTint="BF"/>
          <w:right w:val="single" w:sz="8" w:space="0" w:color="66B39A" w:themeColor="accent6" w:themeTint="BF"/>
          <w:insideH w:val="nil"/>
          <w:insideV w:val="nil"/>
        </w:tcBorders>
      </w:tcPr>
    </w:tblStylePr>
    <w:tblStylePr w:type="firstCol">
      <w:rPr>
        <w:b/>
        <w:bCs/>
      </w:rPr>
    </w:tblStylePr>
    <w:tblStylePr w:type="lastCol">
      <w:rPr>
        <w:b/>
        <w:bCs/>
      </w:rPr>
    </w:tblStylePr>
    <w:tblStylePr w:type="band1Vert">
      <w:tblPr/>
      <w:tcPr>
        <w:shd w:val="clear" w:color="auto" w:fill="CCE6DD" w:themeFill="accent6" w:themeFillTint="3F"/>
      </w:tcPr>
    </w:tblStylePr>
    <w:tblStylePr w:type="band1Horz">
      <w:tblPr/>
      <w:tcPr>
        <w:tcBorders>
          <w:insideH w:val="nil"/>
          <w:insideV w:val="nil"/>
        </w:tcBorders>
        <w:shd w:val="clear" w:color="auto" w:fill="CCE6D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DAF77"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DAF77" w:themeFill="background1"/>
      </w:tcPr>
    </w:tblStylePr>
    <w:tblStylePr w:type="firstCol">
      <w:rPr>
        <w:b/>
        <w:bCs/>
        <w:color w:val="BDAF77"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BDAF77"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AD9C57" w:themeFill="background1" w:themeFillShade="D8"/>
      </w:tcPr>
    </w:tblStylePr>
    <w:tblStylePr w:type="band1Horz">
      <w:tblPr/>
      <w:tcPr>
        <w:shd w:val="clear" w:color="auto" w:fill="AD9C57"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DAF7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DAF77" w:themeColor="background1"/>
      </w:rPr>
      <w:tblPr/>
      <w:tcPr>
        <w:tcBorders>
          <w:top w:val="single" w:sz="18" w:space="0" w:color="auto"/>
          <w:left w:val="nil"/>
          <w:bottom w:val="single" w:sz="18" w:space="0" w:color="auto"/>
          <w:right w:val="nil"/>
          <w:insideH w:val="nil"/>
          <w:insideV w:val="nil"/>
        </w:tcBorders>
        <w:shd w:val="clear" w:color="auto" w:fill="7BC14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DAF77" w:themeFill="background1"/>
      </w:tcPr>
    </w:tblStylePr>
    <w:tblStylePr w:type="firstCol">
      <w:rPr>
        <w:b/>
        <w:bCs/>
        <w:color w:val="BDAF77" w:themeColor="background1"/>
      </w:rPr>
      <w:tblPr/>
      <w:tcPr>
        <w:tcBorders>
          <w:top w:val="nil"/>
          <w:left w:val="nil"/>
          <w:bottom w:val="single" w:sz="18" w:space="0" w:color="auto"/>
          <w:right w:val="nil"/>
          <w:insideH w:val="nil"/>
          <w:insideV w:val="nil"/>
        </w:tcBorders>
        <w:shd w:val="clear" w:color="auto" w:fill="7BC143" w:themeFill="accent1"/>
      </w:tcPr>
    </w:tblStylePr>
    <w:tblStylePr w:type="lastCol">
      <w:rPr>
        <w:b/>
        <w:bCs/>
        <w:color w:val="BDAF77" w:themeColor="background1"/>
      </w:rPr>
      <w:tblPr/>
      <w:tcPr>
        <w:tcBorders>
          <w:left w:val="nil"/>
          <w:right w:val="nil"/>
          <w:insideH w:val="nil"/>
          <w:insideV w:val="nil"/>
        </w:tcBorders>
        <w:shd w:val="clear" w:color="auto" w:fill="7BC143" w:themeFill="accent1"/>
      </w:tcPr>
    </w:tblStylePr>
    <w:tblStylePr w:type="band1Vert">
      <w:tblPr/>
      <w:tcPr>
        <w:tcBorders>
          <w:left w:val="nil"/>
          <w:right w:val="nil"/>
          <w:insideH w:val="nil"/>
          <w:insideV w:val="nil"/>
        </w:tcBorders>
        <w:shd w:val="clear" w:color="auto" w:fill="AD9C57" w:themeFill="background1" w:themeFillShade="D8"/>
      </w:tcPr>
    </w:tblStylePr>
    <w:tblStylePr w:type="band1Horz">
      <w:tblPr/>
      <w:tcPr>
        <w:shd w:val="clear" w:color="auto" w:fill="AD9C57"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DAF7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DAF77" w:themeColor="background1"/>
      </w:rPr>
      <w:tblPr/>
      <w:tcPr>
        <w:tcBorders>
          <w:top w:val="single" w:sz="18" w:space="0" w:color="auto"/>
          <w:left w:val="nil"/>
          <w:bottom w:val="single" w:sz="18" w:space="0" w:color="auto"/>
          <w:right w:val="nil"/>
          <w:insideH w:val="nil"/>
          <w:insideV w:val="nil"/>
        </w:tcBorders>
        <w:shd w:val="clear" w:color="auto" w:fill="4C988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DAF77" w:themeFill="background1"/>
      </w:tcPr>
    </w:tblStylePr>
    <w:tblStylePr w:type="firstCol">
      <w:rPr>
        <w:b/>
        <w:bCs/>
        <w:color w:val="BDAF77" w:themeColor="background1"/>
      </w:rPr>
      <w:tblPr/>
      <w:tcPr>
        <w:tcBorders>
          <w:top w:val="nil"/>
          <w:left w:val="nil"/>
          <w:bottom w:val="single" w:sz="18" w:space="0" w:color="auto"/>
          <w:right w:val="nil"/>
          <w:insideH w:val="nil"/>
          <w:insideV w:val="nil"/>
        </w:tcBorders>
        <w:shd w:val="clear" w:color="auto" w:fill="4C9880" w:themeFill="accent2"/>
      </w:tcPr>
    </w:tblStylePr>
    <w:tblStylePr w:type="lastCol">
      <w:rPr>
        <w:b/>
        <w:bCs/>
        <w:color w:val="BDAF77" w:themeColor="background1"/>
      </w:rPr>
      <w:tblPr/>
      <w:tcPr>
        <w:tcBorders>
          <w:left w:val="nil"/>
          <w:right w:val="nil"/>
          <w:insideH w:val="nil"/>
          <w:insideV w:val="nil"/>
        </w:tcBorders>
        <w:shd w:val="clear" w:color="auto" w:fill="4C9880" w:themeFill="accent2"/>
      </w:tcPr>
    </w:tblStylePr>
    <w:tblStylePr w:type="band1Vert">
      <w:tblPr/>
      <w:tcPr>
        <w:tcBorders>
          <w:left w:val="nil"/>
          <w:right w:val="nil"/>
          <w:insideH w:val="nil"/>
          <w:insideV w:val="nil"/>
        </w:tcBorders>
        <w:shd w:val="clear" w:color="auto" w:fill="AD9C57" w:themeFill="background1" w:themeFillShade="D8"/>
      </w:tcPr>
    </w:tblStylePr>
    <w:tblStylePr w:type="band1Horz">
      <w:tblPr/>
      <w:tcPr>
        <w:shd w:val="clear" w:color="auto" w:fill="AD9C57"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DAF7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DAF77" w:themeColor="background1"/>
      </w:rPr>
      <w:tblPr/>
      <w:tcPr>
        <w:tcBorders>
          <w:top w:val="single" w:sz="18" w:space="0" w:color="auto"/>
          <w:left w:val="nil"/>
          <w:bottom w:val="single" w:sz="18" w:space="0" w:color="auto"/>
          <w:right w:val="nil"/>
          <w:insideH w:val="nil"/>
          <w:insideV w:val="nil"/>
        </w:tcBorders>
        <w:shd w:val="clear" w:color="auto" w:fill="DBD4BD"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DAF77" w:themeFill="background1"/>
      </w:tcPr>
    </w:tblStylePr>
    <w:tblStylePr w:type="firstCol">
      <w:rPr>
        <w:b/>
        <w:bCs/>
        <w:color w:val="BDAF77" w:themeColor="background1"/>
      </w:rPr>
      <w:tblPr/>
      <w:tcPr>
        <w:tcBorders>
          <w:top w:val="nil"/>
          <w:left w:val="nil"/>
          <w:bottom w:val="single" w:sz="18" w:space="0" w:color="auto"/>
          <w:right w:val="nil"/>
          <w:insideH w:val="nil"/>
          <w:insideV w:val="nil"/>
        </w:tcBorders>
        <w:shd w:val="clear" w:color="auto" w:fill="DBD4BD" w:themeFill="accent3"/>
      </w:tcPr>
    </w:tblStylePr>
    <w:tblStylePr w:type="lastCol">
      <w:rPr>
        <w:b/>
        <w:bCs/>
        <w:color w:val="BDAF77" w:themeColor="background1"/>
      </w:rPr>
      <w:tblPr/>
      <w:tcPr>
        <w:tcBorders>
          <w:left w:val="nil"/>
          <w:right w:val="nil"/>
          <w:insideH w:val="nil"/>
          <w:insideV w:val="nil"/>
        </w:tcBorders>
        <w:shd w:val="clear" w:color="auto" w:fill="DBD4BD" w:themeFill="accent3"/>
      </w:tcPr>
    </w:tblStylePr>
    <w:tblStylePr w:type="band1Vert">
      <w:tblPr/>
      <w:tcPr>
        <w:tcBorders>
          <w:left w:val="nil"/>
          <w:right w:val="nil"/>
          <w:insideH w:val="nil"/>
          <w:insideV w:val="nil"/>
        </w:tcBorders>
        <w:shd w:val="clear" w:color="auto" w:fill="AD9C57" w:themeFill="background1" w:themeFillShade="D8"/>
      </w:tcPr>
    </w:tblStylePr>
    <w:tblStylePr w:type="band1Horz">
      <w:tblPr/>
      <w:tcPr>
        <w:shd w:val="clear" w:color="auto" w:fill="AD9C57"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DAF7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DAF77" w:themeColor="background1"/>
      </w:rPr>
      <w:tblPr/>
      <w:tcPr>
        <w:tcBorders>
          <w:top w:val="single" w:sz="18" w:space="0" w:color="auto"/>
          <w:left w:val="nil"/>
          <w:bottom w:val="single" w:sz="18" w:space="0" w:color="auto"/>
          <w:right w:val="nil"/>
          <w:insideH w:val="nil"/>
          <w:insideV w:val="nil"/>
        </w:tcBorders>
        <w:shd w:val="clear" w:color="auto" w:fill="000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DAF77" w:themeFill="background1"/>
      </w:tcPr>
    </w:tblStylePr>
    <w:tblStylePr w:type="firstCol">
      <w:rPr>
        <w:b/>
        <w:bCs/>
        <w:color w:val="BDAF77" w:themeColor="background1"/>
      </w:rPr>
      <w:tblPr/>
      <w:tcPr>
        <w:tcBorders>
          <w:top w:val="nil"/>
          <w:left w:val="nil"/>
          <w:bottom w:val="single" w:sz="18" w:space="0" w:color="auto"/>
          <w:right w:val="nil"/>
          <w:insideH w:val="nil"/>
          <w:insideV w:val="nil"/>
        </w:tcBorders>
        <w:shd w:val="clear" w:color="auto" w:fill="000000" w:themeFill="accent4"/>
      </w:tcPr>
    </w:tblStylePr>
    <w:tblStylePr w:type="lastCol">
      <w:rPr>
        <w:b/>
        <w:bCs/>
        <w:color w:val="BDAF77" w:themeColor="background1"/>
      </w:rPr>
      <w:tblPr/>
      <w:tcPr>
        <w:tcBorders>
          <w:left w:val="nil"/>
          <w:right w:val="nil"/>
          <w:insideH w:val="nil"/>
          <w:insideV w:val="nil"/>
        </w:tcBorders>
        <w:shd w:val="clear" w:color="auto" w:fill="000000" w:themeFill="accent4"/>
      </w:tcPr>
    </w:tblStylePr>
    <w:tblStylePr w:type="band1Vert">
      <w:tblPr/>
      <w:tcPr>
        <w:tcBorders>
          <w:left w:val="nil"/>
          <w:right w:val="nil"/>
          <w:insideH w:val="nil"/>
          <w:insideV w:val="nil"/>
        </w:tcBorders>
        <w:shd w:val="clear" w:color="auto" w:fill="AD9C57" w:themeFill="background1" w:themeFillShade="D8"/>
      </w:tcPr>
    </w:tblStylePr>
    <w:tblStylePr w:type="band1Horz">
      <w:tblPr/>
      <w:tcPr>
        <w:shd w:val="clear" w:color="auto" w:fill="AD9C57"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DAF7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DAF77" w:themeColor="background1"/>
      </w:rPr>
      <w:tblPr/>
      <w:tcPr>
        <w:tcBorders>
          <w:top w:val="single" w:sz="18" w:space="0" w:color="auto"/>
          <w:left w:val="nil"/>
          <w:bottom w:val="single" w:sz="18" w:space="0" w:color="auto"/>
          <w:right w:val="nil"/>
          <w:insideH w:val="nil"/>
          <w:insideV w:val="nil"/>
        </w:tcBorders>
        <w:shd w:val="clear" w:color="auto" w:fill="BFDDB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DAF77" w:themeFill="background1"/>
      </w:tcPr>
    </w:tblStylePr>
    <w:tblStylePr w:type="firstCol">
      <w:rPr>
        <w:b/>
        <w:bCs/>
        <w:color w:val="BDAF77" w:themeColor="background1"/>
      </w:rPr>
      <w:tblPr/>
      <w:tcPr>
        <w:tcBorders>
          <w:top w:val="nil"/>
          <w:left w:val="nil"/>
          <w:bottom w:val="single" w:sz="18" w:space="0" w:color="auto"/>
          <w:right w:val="nil"/>
          <w:insideH w:val="nil"/>
          <w:insideV w:val="nil"/>
        </w:tcBorders>
        <w:shd w:val="clear" w:color="auto" w:fill="BFDDB0" w:themeFill="accent5"/>
      </w:tcPr>
    </w:tblStylePr>
    <w:tblStylePr w:type="lastCol">
      <w:rPr>
        <w:b/>
        <w:bCs/>
        <w:color w:val="BDAF77" w:themeColor="background1"/>
      </w:rPr>
      <w:tblPr/>
      <w:tcPr>
        <w:tcBorders>
          <w:left w:val="nil"/>
          <w:right w:val="nil"/>
          <w:insideH w:val="nil"/>
          <w:insideV w:val="nil"/>
        </w:tcBorders>
        <w:shd w:val="clear" w:color="auto" w:fill="BFDDB0" w:themeFill="accent5"/>
      </w:tcPr>
    </w:tblStylePr>
    <w:tblStylePr w:type="band1Vert">
      <w:tblPr/>
      <w:tcPr>
        <w:tcBorders>
          <w:left w:val="nil"/>
          <w:right w:val="nil"/>
          <w:insideH w:val="nil"/>
          <w:insideV w:val="nil"/>
        </w:tcBorders>
        <w:shd w:val="clear" w:color="auto" w:fill="AD9C57" w:themeFill="background1" w:themeFillShade="D8"/>
      </w:tcPr>
    </w:tblStylePr>
    <w:tblStylePr w:type="band1Horz">
      <w:tblPr/>
      <w:tcPr>
        <w:shd w:val="clear" w:color="auto" w:fill="AD9C57"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DAF7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DAF77" w:themeColor="background1"/>
      </w:rPr>
      <w:tblPr/>
      <w:tcPr>
        <w:tcBorders>
          <w:top w:val="single" w:sz="18" w:space="0" w:color="auto"/>
          <w:left w:val="nil"/>
          <w:bottom w:val="single" w:sz="18" w:space="0" w:color="auto"/>
          <w:right w:val="nil"/>
          <w:insideH w:val="nil"/>
          <w:insideV w:val="nil"/>
        </w:tcBorders>
        <w:shd w:val="clear" w:color="auto" w:fill="448973"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DAF77" w:themeFill="background1"/>
      </w:tcPr>
    </w:tblStylePr>
    <w:tblStylePr w:type="firstCol">
      <w:rPr>
        <w:b/>
        <w:bCs/>
        <w:color w:val="BDAF77" w:themeColor="background1"/>
      </w:rPr>
      <w:tblPr/>
      <w:tcPr>
        <w:tcBorders>
          <w:top w:val="nil"/>
          <w:left w:val="nil"/>
          <w:bottom w:val="single" w:sz="18" w:space="0" w:color="auto"/>
          <w:right w:val="nil"/>
          <w:insideH w:val="nil"/>
          <w:insideV w:val="nil"/>
        </w:tcBorders>
        <w:shd w:val="clear" w:color="auto" w:fill="448973" w:themeFill="accent6"/>
      </w:tcPr>
    </w:tblStylePr>
    <w:tblStylePr w:type="lastCol">
      <w:rPr>
        <w:b/>
        <w:bCs/>
        <w:color w:val="BDAF77" w:themeColor="background1"/>
      </w:rPr>
      <w:tblPr/>
      <w:tcPr>
        <w:tcBorders>
          <w:left w:val="nil"/>
          <w:right w:val="nil"/>
          <w:insideH w:val="nil"/>
          <w:insideV w:val="nil"/>
        </w:tcBorders>
        <w:shd w:val="clear" w:color="auto" w:fill="448973" w:themeFill="accent6"/>
      </w:tcPr>
    </w:tblStylePr>
    <w:tblStylePr w:type="band1Vert">
      <w:tblPr/>
      <w:tcPr>
        <w:tcBorders>
          <w:left w:val="nil"/>
          <w:right w:val="nil"/>
          <w:insideH w:val="nil"/>
          <w:insideV w:val="nil"/>
        </w:tcBorders>
        <w:shd w:val="clear" w:color="auto" w:fill="AD9C57" w:themeFill="background1" w:themeFillShade="D8"/>
      </w:tcPr>
    </w:tblStylePr>
    <w:tblStylePr w:type="band1Horz">
      <w:tblPr/>
      <w:tcPr>
        <w:shd w:val="clear" w:color="auto" w:fill="AD9C57"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DAF77"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rPr>
  </w:style>
  <w:style w:type="character" w:customStyle="1" w:styleId="MessageHeaderChar">
    <w:name w:val="Message Header Char"/>
    <w:basedOn w:val="DefaultParagraphFont"/>
    <w:link w:val="MessageHeader"/>
    <w:semiHidden/>
    <w:rPr>
      <w:rFonts w:ascii="Times New Roman" w:eastAsiaTheme="majorEastAsia" w:hAnsi="Times New Roman" w:cs="Times New Roman"/>
      <w:sz w:val="24"/>
      <w:szCs w:val="24"/>
      <w:shd w:val="pct20" w:color="auto" w:fill="auto"/>
    </w:rPr>
  </w:style>
  <w:style w:type="paragraph" w:styleId="NoSpacing">
    <w:name w:val="No Spacing"/>
    <w:uiPriority w:val="1"/>
    <w:semiHidden/>
    <w:qFormat/>
    <w:rPr>
      <w:rFonts w:eastAsia="Times New Roman"/>
      <w:szCs w:val="20"/>
    </w:rPr>
  </w:style>
  <w:style w:type="paragraph" w:styleId="NormalWeb">
    <w:name w:val="Normal (Web)"/>
    <w:basedOn w:val="Normal"/>
    <w:semiHidden/>
  </w:style>
  <w:style w:type="paragraph" w:styleId="NormalIndent">
    <w:name w:val="Normal Indent"/>
    <w:basedOn w:val="Normal"/>
    <w:semiHidden/>
    <w:pPr>
      <w:ind w:left="720"/>
    </w:pPr>
  </w:style>
  <w:style w:type="paragraph" w:customStyle="1" w:styleId="NoteHeading1">
    <w:name w:val="Note Heading1"/>
    <w:basedOn w:val="Normal"/>
    <w:next w:val="Normal"/>
    <w:link w:val="NoteHeadingChar"/>
    <w:semiHidden/>
  </w:style>
  <w:style w:type="character" w:customStyle="1" w:styleId="NoteHeadingChar">
    <w:name w:val="Note Heading Char"/>
    <w:basedOn w:val="DefaultParagraphFont"/>
    <w:link w:val="NoteHeading1"/>
    <w:semiHidden/>
    <w:rPr>
      <w:rFonts w:ascii="Times New Roman" w:eastAsia="Times New Roman" w:hAnsi="Times New Roman" w:cs="Times New Roman"/>
      <w:sz w:val="24"/>
      <w:szCs w:val="20"/>
    </w:rPr>
  </w:style>
  <w:style w:type="character" w:styleId="PageNumber">
    <w:name w:val="page number"/>
    <w:basedOn w:val="DefaultParagraphFont"/>
    <w:semiHidden/>
    <w:rPr>
      <w:rFonts w:ascii="Times New Roman" w:hAnsi="Times New Roman" w:cs="Times New Roman"/>
    </w:rPr>
  </w:style>
  <w:style w:type="character" w:styleId="PlaceholderText">
    <w:name w:val="Placeholder Text"/>
    <w:basedOn w:val="DefaultParagraphFont"/>
    <w:uiPriority w:val="99"/>
    <w:semiHidden/>
    <w:rPr>
      <w:rFonts w:ascii="Times New Roman" w:hAnsi="Times New Roman" w:cs="Times New Roman"/>
      <w:vanish/>
      <w:color w:val="808080"/>
    </w:rPr>
  </w:style>
  <w:style w:type="paragraph" w:styleId="PlainText">
    <w:name w:val="Plain Text"/>
    <w:basedOn w:val="Normal"/>
    <w:link w:val="PlainTextChar"/>
    <w:semiHidden/>
    <w:rPr>
      <w:sz w:val="21"/>
      <w:szCs w:val="21"/>
    </w:rPr>
  </w:style>
  <w:style w:type="character" w:customStyle="1" w:styleId="PlainTextChar">
    <w:name w:val="Plain Text Char"/>
    <w:basedOn w:val="DefaultParagraphFont"/>
    <w:link w:val="PlainText"/>
    <w:semiHidden/>
    <w:rPr>
      <w:rFonts w:ascii="Times New Roman" w:eastAsia="Times New Roman" w:hAnsi="Times New Roman" w:cs="Times New Roman"/>
      <w:sz w:val="21"/>
      <w:szCs w:val="21"/>
    </w:rPr>
  </w:style>
  <w:style w:type="paragraph" w:styleId="Quote">
    <w:name w:val="Quote"/>
    <w:basedOn w:val="Normal"/>
    <w:next w:val="Normal"/>
    <w:link w:val="QuoteChar"/>
    <w:uiPriority w:val="29"/>
    <w:semiHidden/>
    <w:rPr>
      <w:i/>
      <w:iCs/>
      <w:color w:val="000000" w:themeColor="text1"/>
    </w:rPr>
  </w:style>
  <w:style w:type="character" w:customStyle="1" w:styleId="QuoteChar">
    <w:name w:val="Quote Char"/>
    <w:basedOn w:val="DefaultParagraphFont"/>
    <w:link w:val="Quote"/>
    <w:uiPriority w:val="29"/>
    <w:semiHidden/>
    <w:rPr>
      <w:rFonts w:ascii="Times New Roman" w:eastAsia="Times New Roman" w:hAnsi="Times New Roman" w:cs="Times New Roman"/>
      <w:i/>
      <w:iCs/>
      <w:color w:val="000000"/>
      <w:sz w:val="24"/>
      <w:szCs w:val="20"/>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sz w:val="24"/>
      <w:szCs w:val="20"/>
    </w:rPr>
  </w:style>
  <w:style w:type="character" w:styleId="Strong">
    <w:name w:val="Strong"/>
    <w:basedOn w:val="DefaultParagraphFont"/>
    <w:semiHidden/>
    <w:rPr>
      <w:rFonts w:ascii="Times New Roman" w:hAnsi="Times New Roman" w:cs="Times New Roman"/>
      <w:b/>
      <w:bCs/>
    </w:rPr>
  </w:style>
  <w:style w:type="character" w:styleId="SubtleEmphasis">
    <w:name w:val="Subtle Emphasis"/>
    <w:basedOn w:val="DefaultParagraphFont"/>
    <w:uiPriority w:val="19"/>
    <w:semiHidden/>
    <w:rPr>
      <w:rFonts w:ascii="Times New Roman" w:hAnsi="Times New Roman" w:cs="Times New Roman"/>
      <w:i/>
      <w:iCs/>
      <w:color w:val="808080" w:themeColor="text1" w:themeTint="7F"/>
    </w:rPr>
  </w:style>
  <w:style w:type="character" w:styleId="SubtleReference">
    <w:name w:val="Subtle Reference"/>
    <w:basedOn w:val="DefaultParagraphFont"/>
    <w:uiPriority w:val="31"/>
    <w:semiHidden/>
    <w:rPr>
      <w:rFonts w:ascii="Times New Roman" w:hAnsi="Times New Roman" w:cs="Times New Roman"/>
      <w:smallCaps/>
      <w:color w:val="4C9880" w:themeColor="accent2"/>
      <w:u w:val="single"/>
    </w:r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tblPr/>
    <w:trPr>
      <w:cantSplit/>
    </w:tr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pPr>
      <w:spacing w:before="120"/>
    </w:pPr>
    <w:rPr>
      <w:rFonts w:eastAsiaTheme="majorEastAsia"/>
      <w:b/>
      <w:bCs/>
    </w:rPr>
  </w:style>
  <w:style w:type="paragraph" w:styleId="TOCHeading">
    <w:name w:val="TOC Heading"/>
    <w:basedOn w:val="Heading1"/>
    <w:next w:val="Normal"/>
    <w:uiPriority w:val="39"/>
    <w:semiHidden/>
    <w:qFormat/>
    <w:pPr>
      <w:numPr>
        <w:numId w:val="0"/>
      </w:numPr>
      <w:spacing w:before="480"/>
      <w:outlineLvl w:val="9"/>
    </w:pPr>
    <w:rPr>
      <w:rFonts w:eastAsiaTheme="majorEastAsia"/>
      <w:caps w:val="0"/>
      <w:color w:val="5B9230" w:themeColor="accent1" w:themeShade="BF"/>
      <w:kern w:val="0"/>
      <w:sz w:val="28"/>
      <w:szCs w:val="28"/>
    </w:rPr>
  </w:style>
  <w:style w:type="paragraph" w:customStyle="1" w:styleId="TitleTOC">
    <w:name w:val="TitleTOC"/>
    <w:basedOn w:val="Normal"/>
    <w:semiHidden/>
    <w:pPr>
      <w:widowControl w:val="0"/>
      <w:spacing w:before="640"/>
      <w:jc w:val="center"/>
    </w:pPr>
    <w:rPr>
      <w:b/>
      <w:caps/>
      <w:szCs w:val="22"/>
    </w:rPr>
  </w:style>
  <w:style w:type="paragraph" w:customStyle="1" w:styleId="TitleTOA">
    <w:name w:val="TitleTOA"/>
    <w:basedOn w:val="TitleTOC"/>
    <w:semiHidden/>
  </w:style>
  <w:style w:type="paragraph" w:customStyle="1" w:styleId="TitleTOCPage">
    <w:name w:val="TitleTOCPage"/>
    <w:basedOn w:val="TitleTOC"/>
    <w:semiHidden/>
    <w:pPr>
      <w:spacing w:before="240"/>
      <w:jc w:val="right"/>
    </w:pPr>
    <w:rPr>
      <w:caps w:val="0"/>
      <w:u w:val="single"/>
    </w:rPr>
  </w:style>
  <w:style w:type="paragraph" w:customStyle="1" w:styleId="TitleTOAPage">
    <w:name w:val="TitleTOAPage"/>
    <w:basedOn w:val="TitleTOCPage"/>
    <w:semiHidden/>
  </w:style>
  <w:style w:type="paragraph" w:customStyle="1" w:styleId="TabNumber">
    <w:name w:val="Tab Number"/>
    <w:basedOn w:val="Normal"/>
    <w:pPr>
      <w:numPr>
        <w:numId w:val="14"/>
      </w:numPr>
      <w:spacing w:before="240"/>
      <w:jc w:val="both"/>
    </w:pPr>
  </w:style>
  <w:style w:type="paragraph" w:customStyle="1" w:styleId="ListNumberIndent">
    <w:name w:val="List Number Indent"/>
    <w:basedOn w:val="Normal"/>
    <w:qFormat/>
    <w:pPr>
      <w:numPr>
        <w:numId w:val="10"/>
      </w:numPr>
      <w:spacing w:before="200"/>
      <w:ind w:left="3067" w:hanging="547"/>
      <w:jc w:val="both"/>
    </w:pPr>
    <w:rPr>
      <w:rFonts w:eastAsiaTheme="minorEastAsia" w:cs="Times New Roman"/>
      <w:sz w:val="20"/>
      <w:szCs w:val="20"/>
    </w:rPr>
  </w:style>
  <w:style w:type="paragraph" w:customStyle="1" w:styleId="bcc">
    <w:name w:val="bcc"/>
    <w:basedOn w:val="Normal"/>
    <w:semiHidden/>
    <w:pPr>
      <w:pageBreakBefore/>
      <w:ind w:left="720" w:hanging="720"/>
    </w:pPr>
    <w:rPr>
      <w:rFonts w:eastAsiaTheme="minorEastAsia" w:cs="Times New Roman"/>
    </w:rPr>
  </w:style>
  <w:style w:type="paragraph" w:customStyle="1" w:styleId="ListAlpha">
    <w:name w:val="List Alpha"/>
    <w:basedOn w:val="Normal"/>
    <w:qFormat/>
    <w:pPr>
      <w:numPr>
        <w:numId w:val="16"/>
      </w:numPr>
      <w:spacing w:before="200"/>
      <w:ind w:hanging="684"/>
    </w:pPr>
    <w:rPr>
      <w:sz w:val="20"/>
      <w:szCs w:val="20"/>
    </w:rPr>
  </w:style>
  <w:style w:type="paragraph" w:customStyle="1" w:styleId="zYPage">
    <w:name w:val="zY_Page"/>
    <w:basedOn w:val="Normal"/>
    <w:pPr>
      <w:spacing w:after="240" w:line="240" w:lineRule="exact"/>
      <w:jc w:val="right"/>
    </w:pPr>
    <w:rPr>
      <w:rFonts w:eastAsia="Times New Roman" w:cs="Times New Roman"/>
      <w:b/>
      <w:u w:val="single"/>
    </w:rPr>
  </w:style>
  <w:style w:type="paragraph" w:customStyle="1" w:styleId="zYTableHeadingFirstPage">
    <w:name w:val="zY_TableHeadingFirstPage"/>
    <w:basedOn w:val="Normal"/>
    <w:pPr>
      <w:spacing w:before="640" w:after="240" w:line="240" w:lineRule="exact"/>
      <w:jc w:val="center"/>
    </w:pPr>
    <w:rPr>
      <w:rFonts w:eastAsia="Times New Roman" w:cs="Times New Roman"/>
      <w:b/>
      <w:bCs/>
      <w:caps/>
    </w:rPr>
  </w:style>
  <w:style w:type="paragraph" w:customStyle="1" w:styleId="zYTableHeading">
    <w:name w:val="zY_TableHeading"/>
    <w:basedOn w:val="Normal"/>
    <w:pPr>
      <w:spacing w:before="640" w:line="240" w:lineRule="exact"/>
      <w:jc w:val="center"/>
    </w:pPr>
    <w:rPr>
      <w:rFonts w:eastAsia="Times New Roman" w:cs="Times New Roman"/>
      <w:b/>
      <w:bCs/>
    </w:rPr>
  </w:style>
  <w:style w:type="paragraph" w:customStyle="1" w:styleId="DocID">
    <w:name w:val="DocID"/>
    <w:basedOn w:val="Footer"/>
    <w:next w:val="Footer"/>
    <w:link w:val="DocIDChar"/>
    <w:rsid w:val="007A2867"/>
    <w:pPr>
      <w:tabs>
        <w:tab w:val="clear" w:pos="4680"/>
        <w:tab w:val="clear" w:pos="9360"/>
      </w:tabs>
      <w:ind w:left="216"/>
      <w:jc w:val="left"/>
    </w:pPr>
    <w:rPr>
      <w:rFonts w:cs="Times New Roman"/>
      <w:noProof/>
      <w:sz w:val="15"/>
    </w:rPr>
  </w:style>
  <w:style w:type="character" w:customStyle="1" w:styleId="BodyTextFlushChar">
    <w:name w:val="Body Text Flush Char"/>
    <w:basedOn w:val="DefaultParagraphFont"/>
    <w:link w:val="BodyTextFlush"/>
    <w:rPr>
      <w:rFonts w:eastAsiaTheme="minorHAnsi" w:cstheme="minorBidi"/>
    </w:rPr>
  </w:style>
  <w:style w:type="character" w:customStyle="1" w:styleId="TOC1Char">
    <w:name w:val="TOC 1 Char"/>
    <w:basedOn w:val="DefaultParagraphFont"/>
    <w:link w:val="TOC1"/>
    <w:uiPriority w:val="39"/>
    <w:rsid w:val="00AB212E"/>
    <w:rPr>
      <w:rFonts w:eastAsiaTheme="minorHAnsi" w:cstheme="minorBidi"/>
      <w:noProof/>
      <w:sz w:val="20"/>
      <w:szCs w:val="20"/>
    </w:rPr>
  </w:style>
  <w:style w:type="character" w:customStyle="1" w:styleId="DeltaViewDelimiter">
    <w:name w:val="DeltaView Delimiter"/>
    <w:rsid w:val="00882A96"/>
    <w:rPr>
      <w:spacing w:val="0"/>
    </w:rPr>
  </w:style>
  <w:style w:type="character" w:customStyle="1" w:styleId="DocIDChar">
    <w:name w:val="DocID Char"/>
    <w:basedOn w:val="TOC1Char"/>
    <w:link w:val="DocID"/>
    <w:rsid w:val="007A2867"/>
    <w:rPr>
      <w:rFonts w:eastAsiaTheme="minorHAnsi" w:cstheme="minorBidi"/>
      <w:noProof/>
      <w:sz w:val="15"/>
      <w:szCs w:val="20"/>
    </w:rPr>
  </w:style>
  <w:style w:type="paragraph" w:styleId="Revision">
    <w:name w:val="Revision"/>
    <w:hidden/>
    <w:uiPriority w:val="99"/>
    <w:semiHidden/>
    <w:rsid w:val="00BC243B"/>
    <w:rPr>
      <w:rFonts w:eastAsiaTheme="minorHAnsi" w:cstheme="minorBidi"/>
    </w:rPr>
  </w:style>
  <w:style w:type="character" w:customStyle="1" w:styleId="SigLeftChar">
    <w:name w:val="SigLeft Char"/>
    <w:basedOn w:val="DefaultParagraphFont"/>
    <w:link w:val="SigLeft"/>
    <w:semiHidden/>
    <w:rsid w:val="00A90DB7"/>
    <w:rPr>
      <w:rFonts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4.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fontTable" Target="fontTable.xml"/></Relationships>
</file>

<file path=word/theme/theme1.xml><?xml version="1.0" encoding="utf-8"?>
<a:theme xmlns:a="http://schemas.openxmlformats.org/drawingml/2006/main" name="AALRR">
  <a:themeElements>
    <a:clrScheme name="AALRR">
      <a:dk1>
        <a:srgbClr val="000000"/>
      </a:dk1>
      <a:lt1>
        <a:srgbClr val="BDAF77"/>
      </a:lt1>
      <a:dk2>
        <a:srgbClr val="12175E"/>
      </a:dk2>
      <a:lt2>
        <a:srgbClr val="BDBCAF"/>
      </a:lt2>
      <a:accent1>
        <a:srgbClr val="7BC143"/>
      </a:accent1>
      <a:accent2>
        <a:srgbClr val="4C9880"/>
      </a:accent2>
      <a:accent3>
        <a:srgbClr val="DBD4BD"/>
      </a:accent3>
      <a:accent4>
        <a:srgbClr val="000000"/>
      </a:accent4>
      <a:accent5>
        <a:srgbClr val="BFDDB0"/>
      </a:accent5>
      <a:accent6>
        <a:srgbClr val="448973"/>
      </a:accent6>
      <a:hlink>
        <a:srgbClr val="E09E26"/>
      </a:hlink>
      <a:folHlink>
        <a:srgbClr val="957B34"/>
      </a:folHlink>
    </a:clrScheme>
    <a:fontScheme name="AALRR">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1" fontAlgn="base" latinLnBrk="0" hangingPunct="1">
          <a:lnSpc>
            <a:spcPct val="100000"/>
          </a:lnSpc>
          <a:spcBef>
            <a:spcPct val="0"/>
          </a:spcBef>
          <a:spcAft>
            <a:spcPct val="0"/>
          </a:spcAft>
          <a:buClrTx/>
          <a:buSzTx/>
          <a:buFontTx/>
          <a:buNone/>
          <a:tabLst/>
          <a:defRPr kumimoji="0" lang="en-US" sz="2400" b="0" i="0" u="none" strike="noStrike" cap="none" normalizeH="0" baseline="-25000" smtClean="0">
            <a:ln>
              <a:noFill/>
            </a:ln>
            <a:solidFill>
              <a:schemeClr val="tx1"/>
            </a:solidFill>
            <a:effectLst/>
            <a:latin typeface="Arial"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1" fontAlgn="base" latinLnBrk="0" hangingPunct="1">
          <a:lnSpc>
            <a:spcPct val="100000"/>
          </a:lnSpc>
          <a:spcBef>
            <a:spcPct val="0"/>
          </a:spcBef>
          <a:spcAft>
            <a:spcPct val="0"/>
          </a:spcAft>
          <a:buClrTx/>
          <a:buSzTx/>
          <a:buFontTx/>
          <a:buNone/>
          <a:tabLst/>
          <a:defRPr kumimoji="0" lang="en-US" sz="2400" b="0" i="0" u="none" strike="noStrike" cap="none" normalizeH="0" baseline="-25000" smtClean="0">
            <a:ln>
              <a:noFill/>
            </a:ln>
            <a:solidFill>
              <a:schemeClr val="tx1"/>
            </a:solidFill>
            <a:effectLst/>
            <a:latin typeface="Arial" charset="0"/>
          </a:defRPr>
        </a:defPPr>
      </a:lstStyle>
    </a:lnDef>
  </a:objectDefaults>
  <a:extraClrSchemeLst>
    <a:extraClrScheme>
      <a:clrScheme name="AALRR_Template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AALRR_Template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AALRR_Template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AALRR_Template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AALRR_Template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AALRR_Template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AALRR_Template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AALRR_Template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AALRR_Template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AALRR_Template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AALRR_Template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AALRR_Template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AALRR_Template 13">
        <a:dk1>
          <a:srgbClr val="4D4D4D"/>
        </a:dk1>
        <a:lt1>
          <a:srgbClr val="BDAF77"/>
        </a:lt1>
        <a:dk2>
          <a:srgbClr val="12175E"/>
        </a:dk2>
        <a:lt2>
          <a:srgbClr val="BDBCAF"/>
        </a:lt2>
        <a:accent1>
          <a:srgbClr val="7BC143"/>
        </a:accent1>
        <a:accent2>
          <a:srgbClr val="4C9880"/>
        </a:accent2>
        <a:accent3>
          <a:srgbClr val="DBD4BD"/>
        </a:accent3>
        <a:accent4>
          <a:srgbClr val="404040"/>
        </a:accent4>
        <a:accent5>
          <a:srgbClr val="BFDDB0"/>
        </a:accent5>
        <a:accent6>
          <a:srgbClr val="448973"/>
        </a:accent6>
        <a:hlink>
          <a:srgbClr val="E09E26"/>
        </a:hlink>
        <a:folHlink>
          <a:srgbClr val="957B34"/>
        </a:folHlink>
      </a:clrScheme>
      <a:clrMap bg1="lt1" tx1="dk1" bg2="lt2" tx2="dk2" accent1="accent1" accent2="accent2" accent3="accent3" accent4="accent4" accent5="accent5" accent6="accent6" hlink="hlink" folHlink="folHlink"/>
    </a:extraClrScheme>
    <a:extraClrScheme>
      <a:clrScheme name="AALRR_Template 14">
        <a:dk1>
          <a:srgbClr val="000000"/>
        </a:dk1>
        <a:lt1>
          <a:srgbClr val="BDAF77"/>
        </a:lt1>
        <a:dk2>
          <a:srgbClr val="12175E"/>
        </a:dk2>
        <a:lt2>
          <a:srgbClr val="BDBCAF"/>
        </a:lt2>
        <a:accent1>
          <a:srgbClr val="7BC143"/>
        </a:accent1>
        <a:accent2>
          <a:srgbClr val="4C9880"/>
        </a:accent2>
        <a:accent3>
          <a:srgbClr val="DBD4BD"/>
        </a:accent3>
        <a:accent4>
          <a:srgbClr val="000000"/>
        </a:accent4>
        <a:accent5>
          <a:srgbClr val="BFDDB0"/>
        </a:accent5>
        <a:accent6>
          <a:srgbClr val="448973"/>
        </a:accent6>
        <a:hlink>
          <a:srgbClr val="E09E26"/>
        </a:hlink>
        <a:folHlink>
          <a:srgbClr val="957B34"/>
        </a:folHlink>
      </a:clrScheme>
      <a:clrMap bg1="lt1" tx1="dk1" bg2="lt2" tx2="dk2" accent1="accent1" accent2="accent2" accent3="accent3" accent4="accent4" accent5="accent5" accent6="accent6" hlink="hlink" folHlink="folHlink"/>
    </a:extraClrScheme>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105</Pages>
  <Words>50156</Words>
  <Characters>285894</Characters>
  <Application>Microsoft Office Word</Application>
  <DocSecurity>0</DocSecurity>
  <Lines>2382</Lines>
  <Paragraphs>670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Pulsifer</dc:creator>
  <cp:lastModifiedBy>WJUSD</cp:lastModifiedBy>
  <cp:revision>2</cp:revision>
  <dcterms:created xsi:type="dcterms:W3CDTF">2023-10-19T22:05:00Z</dcterms:created>
  <dcterms:modified xsi:type="dcterms:W3CDTF">2023-10-19T22:05:00Z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AuthorName">
    <vt:lpwstr>0</vt:lpwstr>
  </property>
  <property fmtid="{D5CDD505-2E9C-101B-9397-08002B2CF9AE}" pid="3" name="CUS_DocIDbchkClientNumber">
    <vt:lpwstr>-1</vt:lpwstr>
  </property>
  <property fmtid="{D5CDD505-2E9C-101B-9397-08002B2CF9AE}" pid="4" name="CUS_DocIDbchkDate">
    <vt:lpwstr>0</vt:lpwstr>
  </property>
  <property fmtid="{D5CDD505-2E9C-101B-9397-08002B2CF9AE}" pid="5" name="CUS_DocIDbchkDocbLocation">
    <vt:lpwstr>0</vt:lpwstr>
  </property>
  <property fmtid="{D5CDD505-2E9C-101B-9397-08002B2CF9AE}" pid="6" name="CUS_DocIDbchkDocumentName">
    <vt:lpwstr>0</vt:lpwstr>
  </property>
  <property fmtid="{D5CDD505-2E9C-101B-9397-08002B2CF9AE}" pid="7" name="CUS_DocIDbchkDocumentNumber">
    <vt:lpwstr>-1</vt:lpwstr>
  </property>
  <property fmtid="{D5CDD505-2E9C-101B-9397-08002B2CF9AE}" pid="8" name="CUS_DocIDbChkLibDB">
    <vt:lpwstr>0</vt:lpwstr>
  </property>
  <property fmtid="{D5CDD505-2E9C-101B-9397-08002B2CF9AE}" pid="9" name="CUS_DocIDbchkMatterNumber">
    <vt:lpwstr>-1</vt:lpwstr>
  </property>
  <property fmtid="{D5CDD505-2E9C-101B-9397-08002B2CF9AE}" pid="10" name="CUS_DocIDbchkTime">
    <vt:lpwstr>0</vt:lpwstr>
  </property>
  <property fmtid="{D5CDD505-2E9C-101B-9397-08002B2CF9AE}" pid="11" name="CUS_DocIDbchkVersionNumber">
    <vt:lpwstr>-1</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CUS_DocIDString">
    <vt:lpwstr>005635.0025239085475.2</vt:lpwstr>
  </property>
  <property fmtid="{D5CDD505-2E9C-101B-9397-08002B2CF9AE}" pid="15" name="icVersion">
    <vt:lpwstr>V4\EP4</vt:lpwstr>
  </property>
  <property fmtid="{D5CDD505-2E9C-101B-9397-08002B2CF9AE}" pid="16" name="SelectedNumberingScheme">
    <vt:lpwstr>C:\Program Files (x86)\Esquire Innovations\iCreate\iTemplates\SchemesGlobal\AGR Center Article 1 Legal 1.1.docx</vt:lpwstr>
  </property>
</Properties>
</file>